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5D604">
      <w:pPr>
        <w:jc w:val="center"/>
        <w:rPr>
          <w:b/>
          <w:sz w:val="44"/>
          <w:szCs w:val="44"/>
        </w:rPr>
      </w:pPr>
      <w:r>
        <w:rPr>
          <w:rFonts w:hint="eastAsia"/>
          <w:b/>
          <w:sz w:val="44"/>
          <w:szCs w:val="44"/>
        </w:rPr>
        <w:t>论文题目</w:t>
      </w:r>
    </w:p>
    <w:p w14:paraId="2F401BF0">
      <w:pPr>
        <w:spacing w:line="440" w:lineRule="exact"/>
        <w:jc w:val="center"/>
        <w:rPr>
          <w:rFonts w:eastAsia="楷体_GB2312"/>
          <w:sz w:val="24"/>
          <w:szCs w:val="24"/>
        </w:rPr>
      </w:pPr>
      <w:r>
        <w:rPr>
          <w:rFonts w:hint="eastAsia" w:eastAsia="楷体_GB2312"/>
          <w:sz w:val="24"/>
          <w:szCs w:val="24"/>
        </w:rPr>
        <w:t>李红杰</w:t>
      </w:r>
      <w:r>
        <w:rPr>
          <w:rFonts w:hint="eastAsia" w:eastAsia="楷体_GB2312"/>
          <w:sz w:val="24"/>
          <w:szCs w:val="24"/>
          <w:vertAlign w:val="superscript"/>
        </w:rPr>
        <w:t>1,</w:t>
      </w:r>
      <w:r>
        <w:rPr>
          <w:rFonts w:eastAsia="楷体_GB2312"/>
          <w:sz w:val="24"/>
          <w:szCs w:val="24"/>
          <w:vertAlign w:val="superscript"/>
        </w:rPr>
        <w:t>2*</w:t>
      </w:r>
      <w:r>
        <w:rPr>
          <w:rStyle w:val="13"/>
          <w:rFonts w:eastAsia="楷体_GB2312"/>
          <w:color w:val="FFFFFF"/>
          <w:sz w:val="24"/>
          <w:szCs w:val="24"/>
        </w:rPr>
        <w:footnoteReference w:id="0" w:customMarkFollows="1"/>
        <w:t>1</w:t>
      </w:r>
    </w:p>
    <w:p w14:paraId="497CA0C7">
      <w:pPr>
        <w:pStyle w:val="16"/>
        <w:numPr>
          <w:ilvl w:val="0"/>
          <w:numId w:val="1"/>
        </w:numPr>
        <w:spacing w:line="440" w:lineRule="exact"/>
        <w:ind w:firstLineChars="0"/>
        <w:jc w:val="center"/>
        <w:rPr>
          <w:rFonts w:eastAsia="仿宋_GB2312"/>
          <w:sz w:val="18"/>
          <w:szCs w:val="18"/>
        </w:rPr>
      </w:pPr>
      <w:r>
        <w:rPr>
          <w:rFonts w:hint="eastAsia" w:eastAsia="仿宋_GB2312"/>
          <w:sz w:val="18"/>
          <w:szCs w:val="18"/>
        </w:rPr>
        <w:t xml:space="preserve">中国科学院 xxx研究中心，北京 </w:t>
      </w:r>
      <w:r>
        <w:rPr>
          <w:rFonts w:eastAsia="仿宋_GB2312"/>
          <w:sz w:val="18"/>
          <w:szCs w:val="18"/>
        </w:rPr>
        <w:t>100864</w:t>
      </w:r>
    </w:p>
    <w:p w14:paraId="4D30BCEC">
      <w:pPr>
        <w:pStyle w:val="16"/>
        <w:numPr>
          <w:ilvl w:val="0"/>
          <w:numId w:val="1"/>
        </w:numPr>
        <w:spacing w:line="440" w:lineRule="exact"/>
        <w:ind w:firstLineChars="0"/>
        <w:jc w:val="center"/>
        <w:rPr>
          <w:rFonts w:eastAsia="仿宋_GB2312"/>
          <w:sz w:val="18"/>
          <w:szCs w:val="18"/>
        </w:rPr>
      </w:pPr>
      <w:r>
        <w:rPr>
          <w:rFonts w:hint="eastAsia" w:eastAsia="仿宋_GB2312"/>
          <w:sz w:val="18"/>
          <w:szCs w:val="18"/>
        </w:rPr>
        <w:t>山西大学 理论物理研究所，山西 太原 030006</w:t>
      </w:r>
    </w:p>
    <w:p w14:paraId="61CC8046">
      <w:pPr>
        <w:spacing w:line="440" w:lineRule="exact"/>
        <w:jc w:val="left"/>
        <w:rPr>
          <w:rStyle w:val="12"/>
        </w:rPr>
      </w:pPr>
      <w:r>
        <w:rPr>
          <w:rFonts w:eastAsia="黑体"/>
          <w:sz w:val="18"/>
          <w:szCs w:val="18"/>
        </w:rPr>
        <w:t>摘要：</w:t>
      </w:r>
      <w:r>
        <w:rPr>
          <w:rFonts w:eastAsia="楷体"/>
          <w:sz w:val="18"/>
          <w:szCs w:val="18"/>
        </w:rPr>
        <w:t>激光是人类最伟大的发明之一，激光</w:t>
      </w:r>
      <w:r>
        <w:rPr>
          <w:rFonts w:hint="eastAsia" w:eastAsia="楷体"/>
          <w:sz w:val="18"/>
          <w:szCs w:val="18"/>
        </w:rPr>
        <w:t>科学</w:t>
      </w:r>
      <w:r>
        <w:rPr>
          <w:rFonts w:eastAsia="楷体"/>
          <w:sz w:val="18"/>
          <w:szCs w:val="18"/>
        </w:rPr>
        <w:t>技术的发展对人类社会的</w:t>
      </w:r>
      <w:r>
        <w:rPr>
          <w:rFonts w:hint="eastAsia" w:eastAsia="楷体"/>
          <w:sz w:val="18"/>
          <w:szCs w:val="18"/>
        </w:rPr>
        <w:t>文明进步</w:t>
      </w:r>
      <w:r>
        <w:rPr>
          <w:rFonts w:eastAsia="楷体"/>
          <w:sz w:val="18"/>
          <w:szCs w:val="18"/>
        </w:rPr>
        <w:t>产生了重要影响。本文回顾了激光</w:t>
      </w:r>
      <w:r>
        <w:rPr>
          <w:rFonts w:hint="eastAsia" w:eastAsia="楷体"/>
          <w:sz w:val="18"/>
          <w:szCs w:val="18"/>
        </w:rPr>
        <w:t>科技</w:t>
      </w:r>
      <w:r>
        <w:rPr>
          <w:rFonts w:eastAsia="楷体"/>
          <w:sz w:val="18"/>
          <w:szCs w:val="18"/>
        </w:rPr>
        <w:t>的发展历程，介绍了在与激光</w:t>
      </w:r>
      <w:r>
        <w:rPr>
          <w:rFonts w:hint="eastAsia" w:eastAsia="楷体"/>
          <w:sz w:val="18"/>
          <w:szCs w:val="18"/>
        </w:rPr>
        <w:t>科技</w:t>
      </w:r>
      <w:r>
        <w:rPr>
          <w:rFonts w:eastAsia="楷体"/>
          <w:sz w:val="18"/>
          <w:szCs w:val="18"/>
        </w:rPr>
        <w:t>直接相关的十项诺贝尔奖中，与我们研究</w:t>
      </w:r>
      <w:r>
        <w:rPr>
          <w:rFonts w:hint="eastAsia" w:eastAsia="楷体"/>
          <w:sz w:val="18"/>
          <w:szCs w:val="18"/>
        </w:rPr>
        <w:t>方向</w:t>
      </w:r>
      <w:r>
        <w:rPr>
          <w:rFonts w:eastAsia="楷体"/>
          <w:sz w:val="18"/>
          <w:szCs w:val="18"/>
        </w:rPr>
        <w:t>密切相关的2018年诺贝尔物理奖中的啁啾脉冲放大技术，并重点介绍了我们团队在高能量密度物理</w:t>
      </w:r>
      <w:r>
        <w:rPr>
          <w:rFonts w:hint="eastAsia" w:eastAsia="楷体"/>
          <w:sz w:val="18"/>
          <w:szCs w:val="18"/>
        </w:rPr>
        <w:t>前沿领域的研究进展，本文</w:t>
      </w:r>
      <w:r>
        <w:rPr>
          <w:rFonts w:eastAsia="楷体"/>
          <w:sz w:val="18"/>
          <w:szCs w:val="18"/>
        </w:rPr>
        <w:t>还对该领域的未来发展</w:t>
      </w:r>
      <w:r>
        <w:rPr>
          <w:rFonts w:hint="eastAsia" w:eastAsia="楷体"/>
          <w:sz w:val="18"/>
          <w:szCs w:val="18"/>
        </w:rPr>
        <w:t>趋势</w:t>
      </w:r>
      <w:r>
        <w:rPr>
          <w:rFonts w:eastAsia="楷体"/>
          <w:sz w:val="18"/>
          <w:szCs w:val="18"/>
        </w:rPr>
        <w:t>做了展望。</w:t>
      </w:r>
    </w:p>
    <w:p w14:paraId="7D61F5C3">
      <w:pPr>
        <w:spacing w:line="440" w:lineRule="exact"/>
        <w:jc w:val="left"/>
        <w:rPr>
          <w:sz w:val="18"/>
          <w:szCs w:val="18"/>
        </w:rPr>
      </w:pPr>
      <w:r>
        <w:rPr>
          <w:rStyle w:val="12"/>
          <w:rFonts w:hint="eastAsia"/>
          <w:sz w:val="18"/>
          <w:szCs w:val="18"/>
        </w:rPr>
        <w:t>（</w:t>
      </w:r>
      <w:r>
        <w:rPr>
          <w:rFonts w:hint="eastAsia"/>
          <w:sz w:val="18"/>
          <w:szCs w:val="18"/>
        </w:rPr>
        <w:t>围绕工作创新点概述，包括研究目的、方法、结果结论等主要内容，概述时注意数据语言与准确的定性语言相结合，写成具有自含性与自明性的独立短文</w:t>
      </w:r>
      <w:r>
        <w:rPr>
          <w:rStyle w:val="12"/>
          <w:rFonts w:hint="eastAsia"/>
          <w:sz w:val="18"/>
          <w:szCs w:val="18"/>
        </w:rPr>
        <w:t>）</w:t>
      </w:r>
    </w:p>
    <w:p w14:paraId="321E2F1B">
      <w:pPr>
        <w:pStyle w:val="3"/>
        <w:rPr>
          <w:rStyle w:val="12"/>
          <w:rFonts w:hint="eastAsia"/>
        </w:rPr>
      </w:pPr>
      <w:r>
        <w:rPr>
          <w:rFonts w:eastAsia="黑体"/>
          <w:sz w:val="18"/>
          <w:szCs w:val="18"/>
        </w:rPr>
        <w:t>关键词</w:t>
      </w:r>
      <w:r>
        <w:rPr>
          <w:sz w:val="24"/>
          <w:szCs w:val="24"/>
        </w:rPr>
        <w:t>：</w:t>
      </w:r>
      <w:r>
        <w:rPr>
          <w:rFonts w:eastAsia="楷体"/>
          <w:sz w:val="18"/>
          <w:szCs w:val="18"/>
        </w:rPr>
        <w:t>激光物理</w:t>
      </w:r>
      <w:r>
        <w:rPr>
          <w:rFonts w:hint="eastAsia" w:eastAsia="楷体"/>
          <w:sz w:val="18"/>
          <w:szCs w:val="18"/>
        </w:rPr>
        <w:t>；</w:t>
      </w:r>
      <w:r>
        <w:rPr>
          <w:rFonts w:eastAsia="楷体"/>
          <w:sz w:val="18"/>
          <w:szCs w:val="18"/>
        </w:rPr>
        <w:t>啁啾脉冲放大</w:t>
      </w:r>
      <w:r>
        <w:rPr>
          <w:rFonts w:hint="eastAsia" w:eastAsia="楷体"/>
          <w:sz w:val="18"/>
          <w:szCs w:val="18"/>
        </w:rPr>
        <w:t>；</w:t>
      </w:r>
      <w:r>
        <w:rPr>
          <w:rFonts w:eastAsia="楷体"/>
          <w:sz w:val="18"/>
          <w:szCs w:val="18"/>
        </w:rPr>
        <w:t>高能量密度物理</w:t>
      </w:r>
      <w:r>
        <w:rPr>
          <w:rStyle w:val="12"/>
          <w:rFonts w:hint="eastAsia"/>
          <w:sz w:val="18"/>
          <w:szCs w:val="18"/>
        </w:rPr>
        <w:t>（</w:t>
      </w:r>
      <w:r>
        <w:rPr>
          <w:rFonts w:hint="eastAsia"/>
          <w:sz w:val="18"/>
          <w:szCs w:val="20"/>
        </w:rPr>
        <w:t>关键词</w:t>
      </w:r>
      <w:r>
        <w:rPr>
          <w:rFonts w:hint="eastAsia"/>
          <w:sz w:val="18"/>
          <w:szCs w:val="20"/>
          <w:lang w:val="en-US" w:eastAsia="zh-CN"/>
        </w:rPr>
        <w:t>应准确、充分揭示论文主题内容</w:t>
      </w:r>
      <w:r>
        <w:rPr>
          <w:rFonts w:hint="eastAsia"/>
          <w:sz w:val="18"/>
          <w:szCs w:val="20"/>
          <w:lang w:eastAsia="zh-CN"/>
        </w:rPr>
        <w:t>，</w:t>
      </w:r>
      <w:r>
        <w:rPr>
          <w:rFonts w:hint="eastAsia"/>
          <w:sz w:val="18"/>
          <w:szCs w:val="20"/>
          <w:lang w:val="en-US" w:eastAsia="zh-CN"/>
        </w:rPr>
        <w:t>并按照反映主题的重要性排序，宜选择3—8个关键词</w:t>
      </w:r>
      <w:r>
        <w:rPr>
          <w:rStyle w:val="12"/>
          <w:rFonts w:hint="eastAsia"/>
        </w:rPr>
        <w:t>）</w:t>
      </w:r>
    </w:p>
    <w:p w14:paraId="695F3122">
      <w:pPr>
        <w:pStyle w:val="3"/>
        <w:rPr>
          <w:rFonts w:hint="eastAsia" w:ascii="楷体" w:hAnsi="楷体" w:eastAsia="楷体" w:cs="楷体"/>
          <w:kern w:val="2"/>
          <w:sz w:val="21"/>
          <w:szCs w:val="21"/>
          <w:lang w:val="en-US" w:eastAsia="zh-CN" w:bidi="ar-SA"/>
        </w:rPr>
      </w:pPr>
    </w:p>
    <w:p w14:paraId="2976F43B">
      <w:pPr>
        <w:pStyle w:val="3"/>
        <w:rPr>
          <w:rFonts w:hint="eastAsia" w:ascii="Times New Roman" w:hAnsi="Times New Roman" w:eastAsia="宋体" w:cs="Times New Roman"/>
          <w:kern w:val="2"/>
          <w:sz w:val="18"/>
          <w:szCs w:val="18"/>
          <w:lang w:val="en-US" w:eastAsia="zh-CN" w:bidi="ar-SA"/>
        </w:rPr>
      </w:pPr>
      <w:r>
        <w:rPr>
          <w:rFonts w:hint="eastAsia" w:ascii="楷体" w:hAnsi="楷体" w:eastAsia="楷体" w:cs="楷体"/>
          <w:kern w:val="2"/>
          <w:sz w:val="21"/>
          <w:szCs w:val="21"/>
          <w:lang w:val="en-US" w:eastAsia="zh-CN" w:bidi="ar-SA"/>
        </w:rPr>
        <w:t>中图分类号：</w:t>
      </w:r>
      <w:r>
        <w:rPr>
          <w:rFonts w:hint="eastAsia" w:ascii="Times New Roman" w:hAnsi="Times New Roman" w:eastAsia="宋体" w:cs="Times New Roman"/>
          <w:kern w:val="2"/>
          <w:sz w:val="21"/>
          <w:szCs w:val="21"/>
          <w:lang w:val="en-US" w:eastAsia="zh-CN" w:bidi="ar-SA"/>
        </w:rPr>
        <w:t xml:space="preserve"> </w:t>
      </w:r>
      <w:r>
        <w:rPr>
          <w:rFonts w:hint="eastAsia" w:ascii="Times New Roman" w:hAnsi="Times New Roman" w:eastAsia="宋体" w:cs="Times New Roman"/>
          <w:kern w:val="2"/>
          <w:sz w:val="18"/>
          <w:szCs w:val="18"/>
          <w:lang w:val="en-US" w:eastAsia="zh-CN" w:bidi="ar-SA"/>
        </w:rPr>
        <w:t xml:space="preserve">       </w:t>
      </w:r>
      <w:r>
        <w:rPr>
          <w:rFonts w:hint="eastAsia" w:cs="Times New Roman"/>
          <w:kern w:val="2"/>
          <w:sz w:val="18"/>
          <w:szCs w:val="18"/>
          <w:lang w:val="en-US" w:eastAsia="zh-CN" w:bidi="ar-SA"/>
        </w:rPr>
        <w:t xml:space="preserve">文献标志码：    文章编号：    </w:t>
      </w:r>
    </w:p>
    <w:p w14:paraId="4B01DCA0"/>
    <w:p w14:paraId="2179BA59">
      <w:pPr>
        <w:ind w:left="420" w:leftChars="200" w:right="420" w:rightChars="200"/>
        <w:jc w:val="center"/>
        <w:rPr>
          <w:b/>
          <w:sz w:val="44"/>
          <w:szCs w:val="44"/>
        </w:rPr>
      </w:pPr>
      <w:r>
        <w:rPr>
          <w:rFonts w:hint="eastAsia"/>
          <w:b/>
          <w:sz w:val="44"/>
          <w:szCs w:val="44"/>
        </w:rPr>
        <w:t>Title</w:t>
      </w:r>
      <w:r>
        <w:rPr>
          <w:b/>
          <w:sz w:val="44"/>
          <w:szCs w:val="44"/>
        </w:rPr>
        <w:t xml:space="preserve"> in English</w:t>
      </w:r>
    </w:p>
    <w:p w14:paraId="55EEA21A">
      <w:pPr>
        <w:spacing w:line="300" w:lineRule="exact"/>
        <w:ind w:left="420" w:leftChars="200" w:right="420" w:rightChars="200"/>
        <w:jc w:val="center"/>
        <w:rPr>
          <w:i/>
          <w:sz w:val="18"/>
          <w:szCs w:val="18"/>
        </w:rPr>
      </w:pPr>
      <w:r>
        <w:rPr>
          <w:rFonts w:hint="eastAsia"/>
          <w:iCs/>
          <w:sz w:val="18"/>
          <w:szCs w:val="18"/>
        </w:rPr>
        <w:t>LI</w:t>
      </w:r>
      <w:r>
        <w:rPr>
          <w:iCs/>
          <w:sz w:val="18"/>
          <w:szCs w:val="18"/>
        </w:rPr>
        <w:t xml:space="preserve"> </w:t>
      </w:r>
      <w:r>
        <w:rPr>
          <w:rFonts w:hint="eastAsia"/>
          <w:iCs/>
          <w:sz w:val="18"/>
          <w:szCs w:val="18"/>
        </w:rPr>
        <w:t>Hongjie</w:t>
      </w:r>
      <w:r>
        <w:rPr>
          <w:iCs/>
          <w:sz w:val="18"/>
          <w:szCs w:val="18"/>
          <w:vertAlign w:val="superscript"/>
        </w:rPr>
        <w:t>1,2*</w:t>
      </w:r>
      <w:r>
        <w:rPr>
          <w:i/>
          <w:sz w:val="18"/>
          <w:szCs w:val="18"/>
        </w:rPr>
        <w:t xml:space="preserve">, </w:t>
      </w:r>
    </w:p>
    <w:p w14:paraId="3ECD9B02">
      <w:pPr>
        <w:pStyle w:val="16"/>
        <w:numPr>
          <w:ilvl w:val="0"/>
          <w:numId w:val="2"/>
        </w:numPr>
        <w:spacing w:line="300" w:lineRule="exact"/>
        <w:ind w:right="420" w:rightChars="200" w:firstLineChars="0"/>
        <w:jc w:val="center"/>
        <w:rPr>
          <w:iCs/>
          <w:sz w:val="18"/>
          <w:szCs w:val="18"/>
        </w:rPr>
      </w:pPr>
      <w:r>
        <w:rPr>
          <w:iCs/>
          <w:sz w:val="18"/>
          <w:szCs w:val="18"/>
        </w:rPr>
        <w:t>Institute of Physics Chinese Academy of Sciences, Beijing 100190</w:t>
      </w:r>
      <w:r>
        <w:rPr>
          <w:rFonts w:hint="eastAsia"/>
          <w:iCs/>
          <w:sz w:val="18"/>
          <w:szCs w:val="18"/>
        </w:rPr>
        <w:t>,</w:t>
      </w:r>
      <w:r>
        <w:rPr>
          <w:iCs/>
          <w:sz w:val="18"/>
          <w:szCs w:val="18"/>
        </w:rPr>
        <w:t xml:space="preserve"> China </w:t>
      </w:r>
      <w:r>
        <w:rPr>
          <w:rFonts w:hint="eastAsia"/>
          <w:iCs/>
          <w:sz w:val="18"/>
          <w:szCs w:val="18"/>
        </w:rPr>
        <w:t>（与中文对应）</w:t>
      </w:r>
    </w:p>
    <w:p w14:paraId="70C07437">
      <w:pPr>
        <w:pStyle w:val="16"/>
        <w:numPr>
          <w:ilvl w:val="0"/>
          <w:numId w:val="2"/>
        </w:numPr>
        <w:spacing w:line="300" w:lineRule="exact"/>
        <w:ind w:right="420" w:rightChars="200" w:firstLineChars="0"/>
        <w:jc w:val="center"/>
        <w:rPr>
          <w:iCs/>
          <w:sz w:val="18"/>
          <w:szCs w:val="18"/>
        </w:rPr>
      </w:pPr>
      <w:r>
        <w:rPr>
          <w:rFonts w:hint="eastAsia"/>
          <w:iCs/>
          <w:sz w:val="18"/>
          <w:szCs w:val="18"/>
        </w:rPr>
        <w:t>Institute of Theoretical Physics</w:t>
      </w:r>
      <w:r>
        <w:rPr>
          <w:iCs/>
          <w:sz w:val="18"/>
          <w:szCs w:val="18"/>
        </w:rPr>
        <w:t xml:space="preserve">, </w:t>
      </w:r>
      <w:r>
        <w:rPr>
          <w:rFonts w:hint="eastAsia"/>
          <w:iCs/>
          <w:sz w:val="18"/>
          <w:szCs w:val="18"/>
        </w:rPr>
        <w:t>Shanxi University,</w:t>
      </w:r>
      <w:r>
        <w:rPr>
          <w:iCs/>
          <w:sz w:val="18"/>
          <w:szCs w:val="18"/>
        </w:rPr>
        <w:t xml:space="preserve"> </w:t>
      </w:r>
      <w:r>
        <w:rPr>
          <w:rFonts w:hint="eastAsia"/>
          <w:iCs/>
          <w:sz w:val="18"/>
          <w:szCs w:val="18"/>
        </w:rPr>
        <w:t>Taiyuan 030006</w:t>
      </w:r>
      <w:r>
        <w:rPr>
          <w:iCs/>
          <w:sz w:val="18"/>
          <w:szCs w:val="18"/>
        </w:rPr>
        <w:t>, China</w:t>
      </w:r>
    </w:p>
    <w:p w14:paraId="22374FAD">
      <w:pPr>
        <w:spacing w:line="440" w:lineRule="exact"/>
        <w:rPr>
          <w:rFonts w:eastAsia="楷体"/>
          <w:sz w:val="18"/>
          <w:szCs w:val="18"/>
        </w:rPr>
      </w:pPr>
      <w:r>
        <w:rPr>
          <w:b/>
          <w:bCs/>
          <w:sz w:val="18"/>
          <w:szCs w:val="18"/>
        </w:rPr>
        <w:t>Abstract:</w:t>
      </w:r>
      <w:r>
        <w:rPr>
          <w:rFonts w:eastAsia="楷体"/>
          <w:sz w:val="18"/>
          <w:szCs w:val="18"/>
        </w:rPr>
        <w:t xml:space="preserve"> Lasers are one of the greatest inventions of mankind. The development of laser technology has made important impacts on the progress of human society’ civilization. This paper reviews the development of laser physics, introduces the</w:t>
      </w:r>
      <w:bookmarkStart w:id="0" w:name="_Hlk102031002"/>
      <w:r>
        <w:rPr>
          <w:rFonts w:eastAsia="楷体"/>
          <w:sz w:val="18"/>
          <w:szCs w:val="18"/>
        </w:rPr>
        <w:t xml:space="preserve"> chirped pulse amplification </w:t>
      </w:r>
      <w:bookmarkEnd w:id="0"/>
      <w:r>
        <w:rPr>
          <w:rFonts w:eastAsia="楷体"/>
          <w:sz w:val="18"/>
          <w:szCs w:val="18"/>
        </w:rPr>
        <w:t>technology in the 2018 Nobel Prize in Physics, which is closely related to our research, among the ten Nobel Prizes directly related to laser physics, and highlights the research work of our group in forefront of high energy density physics. Possible future developments and breakthroughs in this field are also foreseen.</w:t>
      </w:r>
    </w:p>
    <w:p w14:paraId="3EF876B1">
      <w:pPr>
        <w:spacing w:line="440" w:lineRule="exact"/>
        <w:jc w:val="left"/>
        <w:rPr>
          <w:sz w:val="18"/>
          <w:szCs w:val="18"/>
        </w:rPr>
      </w:pPr>
      <w:r>
        <w:rPr>
          <w:rFonts w:eastAsia="楷体"/>
          <w:b/>
          <w:bCs/>
          <w:sz w:val="18"/>
          <w:szCs w:val="18"/>
        </w:rPr>
        <w:t>Keywords:</w:t>
      </w:r>
      <w:r>
        <w:rPr>
          <w:rFonts w:eastAsia="楷体"/>
          <w:sz w:val="18"/>
          <w:szCs w:val="18"/>
        </w:rPr>
        <w:t xml:space="preserve"> laser physics</w:t>
      </w:r>
      <w:r>
        <w:rPr>
          <w:rFonts w:hint="eastAsia" w:eastAsia="楷体"/>
          <w:sz w:val="18"/>
          <w:szCs w:val="18"/>
        </w:rPr>
        <w:t>;</w:t>
      </w:r>
      <w:r>
        <w:rPr>
          <w:rFonts w:eastAsia="楷体"/>
          <w:sz w:val="18"/>
          <w:szCs w:val="18"/>
        </w:rPr>
        <w:t xml:space="preserve"> chirped pulse amplification</w:t>
      </w:r>
      <w:r>
        <w:rPr>
          <w:rFonts w:hint="eastAsia" w:eastAsia="楷体"/>
          <w:sz w:val="18"/>
          <w:szCs w:val="18"/>
        </w:rPr>
        <w:t xml:space="preserve">; </w:t>
      </w:r>
      <w:r>
        <w:rPr>
          <w:rFonts w:eastAsia="楷体"/>
          <w:sz w:val="18"/>
          <w:szCs w:val="18"/>
        </w:rPr>
        <w:t xml:space="preserve">high energy density physics </w:t>
      </w:r>
      <w:r>
        <w:rPr>
          <w:iCs/>
          <w:sz w:val="18"/>
          <w:szCs w:val="18"/>
        </w:rPr>
        <w:t xml:space="preserve"> </w:t>
      </w:r>
      <w:r>
        <w:rPr>
          <w:rFonts w:hint="eastAsia"/>
          <w:iCs/>
          <w:sz w:val="18"/>
          <w:szCs w:val="18"/>
        </w:rPr>
        <w:t>（与中文对应）（关键词首字母不大写，除人名等专有名词）</w:t>
      </w:r>
    </w:p>
    <w:p w14:paraId="5CEE2BC8">
      <w:pPr>
        <w:widowControl/>
        <w:jc w:val="left"/>
      </w:pPr>
      <w:r>
        <w:br w:type="page"/>
      </w:r>
    </w:p>
    <w:p w14:paraId="38127C70">
      <w:pPr>
        <w:spacing w:line="300" w:lineRule="exact"/>
        <w:jc w:val="left"/>
        <w:rPr>
          <w:rFonts w:eastAsia="黑体"/>
          <w:b/>
          <w:bCs/>
          <w:szCs w:val="21"/>
        </w:rPr>
      </w:pPr>
      <w:r>
        <w:rPr>
          <w:rFonts w:hint="eastAsia" w:eastAsia="黑体"/>
          <w:b/>
          <w:bCs/>
          <w:szCs w:val="21"/>
        </w:rPr>
        <w:t>0引言</w:t>
      </w:r>
    </w:p>
    <w:p w14:paraId="383C93EE">
      <w:pPr>
        <w:ind w:firstLine="420" w:firstLineChars="200"/>
        <w:rPr>
          <w:szCs w:val="21"/>
        </w:rPr>
      </w:pPr>
      <w:r>
        <w:rPr>
          <w:rFonts w:hint="eastAsia"/>
          <w:szCs w:val="21"/>
        </w:rPr>
        <w:t>原子受激辐射的光，故名“激光”。是一种高度集中的光束，具有单色性、相干性、直线性和高度聚焦性等特点，被广泛应用于现代科学、工业和医学等领域。激光技术的发展已经深刻地改变了人类的生活和生产方式，同时也推动着科技的不断进步，成为了现代化社会中不可或缺的一部分。</w:t>
      </w:r>
    </w:p>
    <w:p w14:paraId="0703D0A1">
      <w:pPr>
        <w:rPr>
          <w:sz w:val="20"/>
          <w:szCs w:val="20"/>
        </w:rPr>
      </w:pPr>
      <w:r>
        <w:rPr>
          <w:rFonts w:hint="eastAsia"/>
          <w:sz w:val="20"/>
          <w:szCs w:val="20"/>
        </w:rPr>
        <w:t>（此部分应是文献综述或实践背景再或技术背景分析，引出本研究的目的）</w:t>
      </w:r>
    </w:p>
    <w:p w14:paraId="386768AF">
      <w:pPr>
        <w:spacing w:line="300" w:lineRule="exact"/>
        <w:rPr>
          <w:rFonts w:eastAsia="黑体"/>
          <w:b/>
          <w:szCs w:val="21"/>
        </w:rPr>
      </w:pPr>
      <w:r>
        <w:rPr>
          <w:rFonts w:eastAsia="黑体"/>
          <w:b/>
          <w:szCs w:val="21"/>
        </w:rPr>
        <w:t>1 激光物理的发展简介</w:t>
      </w:r>
    </w:p>
    <w:p w14:paraId="7227E441">
      <w:pPr>
        <w:spacing w:line="300" w:lineRule="exact"/>
        <w:ind w:firstLine="420" w:firstLineChars="200"/>
        <w:rPr>
          <w:szCs w:val="21"/>
        </w:rPr>
      </w:pPr>
      <w:r>
        <w:rPr>
          <w:szCs w:val="21"/>
        </w:rPr>
        <w:t>从20世纪60年代，人类发明激光开始，激光就成</w:t>
      </w:r>
      <w:r>
        <w:rPr>
          <w:rFonts w:hint="eastAsia"/>
          <w:szCs w:val="21"/>
        </w:rPr>
        <w:t>为人类</w:t>
      </w:r>
      <w:r>
        <w:rPr>
          <w:szCs w:val="21"/>
        </w:rPr>
        <w:t>对于光的研究中最热门、也是</w:t>
      </w:r>
      <w:r>
        <w:rPr>
          <w:rFonts w:hint="eastAsia"/>
          <w:szCs w:val="21"/>
        </w:rPr>
        <w:t>在</w:t>
      </w:r>
      <w:r>
        <w:rPr>
          <w:szCs w:val="21"/>
        </w:rPr>
        <w:t>20世纪后半叶应用最为广泛的研究领域。</w:t>
      </w:r>
    </w:p>
    <w:p w14:paraId="7F6C73EA">
      <w:pPr>
        <w:spacing w:line="300" w:lineRule="exact"/>
        <w:rPr>
          <w:rFonts w:eastAsia="黑体"/>
          <w:b/>
          <w:bCs/>
          <w:szCs w:val="21"/>
        </w:rPr>
      </w:pPr>
      <w:r>
        <w:rPr>
          <w:rFonts w:eastAsia="黑体"/>
          <w:b/>
          <w:bCs/>
          <w:szCs w:val="21"/>
        </w:rPr>
        <w:t>1.1 激光器</w:t>
      </w:r>
    </w:p>
    <w:p w14:paraId="7EA7E432">
      <w:pPr>
        <w:ind w:firstLine="420"/>
        <w:rPr>
          <w:szCs w:val="21"/>
        </w:rPr>
      </w:pPr>
      <w:r>
        <w:rPr>
          <w:szCs w:val="21"/>
        </w:rPr>
        <w:t>激光器的英文简称叫LASER(Light Amplification by Stimulated Emission of Radiation) ，意思是“受激发射的光放大”。激光器必须具有三个要素</w:t>
      </w:r>
      <w:r>
        <w:rPr>
          <w:rFonts w:hint="eastAsia"/>
          <w:szCs w:val="21"/>
          <w:vertAlign w:val="superscript"/>
        </w:rPr>
        <w:t>[1]</w:t>
      </w:r>
      <w:r>
        <w:rPr>
          <w:szCs w:val="21"/>
        </w:rPr>
        <w:t>：第一，粒子数反转，即必须要有增益介质；第二，谐振腔，有增益不一定就能产生激光，只有当增益超过损耗，才能够产生激光，而该过程的实现要通过谐振；第三，泵浦源，能量需要持续不断地把下能级的粒子泵浦到上能级，实现粒子数反转。</w:t>
      </w:r>
    </w:p>
    <w:p w14:paraId="09EA4CAD">
      <w:pPr>
        <w:spacing w:line="300" w:lineRule="exact"/>
        <w:jc w:val="left"/>
        <w:rPr>
          <w:rFonts w:eastAsia="黑体"/>
          <w:b/>
          <w:szCs w:val="21"/>
        </w:rPr>
      </w:pPr>
      <w:bookmarkStart w:id="1" w:name="_Hlk71873679"/>
      <w:r>
        <w:rPr>
          <w:rFonts w:eastAsia="黑体"/>
          <w:b/>
          <w:szCs w:val="21"/>
        </w:rPr>
        <w:t>2.2 激光物理与诺贝尔物理学奖</w:t>
      </w:r>
    </w:p>
    <w:bookmarkEnd w:id="1"/>
    <w:p w14:paraId="7C8C3BB8">
      <w:pPr>
        <w:spacing w:line="300" w:lineRule="exact"/>
        <w:ind w:firstLine="420" w:firstLineChars="200"/>
        <w:jc w:val="left"/>
        <w:rPr>
          <w:szCs w:val="21"/>
        </w:rPr>
      </w:pPr>
      <w:r>
        <w:rPr>
          <w:szCs w:val="21"/>
        </w:rPr>
        <w:t>如</w:t>
      </w:r>
      <w:r>
        <w:rPr>
          <w:color w:val="FF0000"/>
          <w:szCs w:val="21"/>
        </w:rPr>
        <w:t>表1</w:t>
      </w:r>
      <w:r>
        <w:rPr>
          <w:szCs w:val="21"/>
        </w:rPr>
        <w:t>所示，与激光物理直接相关的科技成果，到目前为止已经获得了十项诺贝尔奖，充分说明了激光物理对人类科学的重大影响</w:t>
      </w:r>
      <w:r>
        <w:rPr>
          <w:rFonts w:hint="eastAsia"/>
          <w:szCs w:val="21"/>
          <w:vertAlign w:val="superscript"/>
        </w:rPr>
        <w:t>[2-3]</w:t>
      </w:r>
      <w:r>
        <w:rPr>
          <w:szCs w:val="21"/>
        </w:rPr>
        <w:t>。</w:t>
      </w:r>
    </w:p>
    <w:p w14:paraId="2ADC0EDC">
      <w:pPr>
        <w:spacing w:line="300" w:lineRule="exact"/>
        <w:jc w:val="left"/>
        <w:rPr>
          <w:szCs w:val="21"/>
        </w:rPr>
      </w:pPr>
      <w:r>
        <w:rPr>
          <w:rFonts w:hint="eastAsia"/>
          <w:szCs w:val="21"/>
        </w:rPr>
        <w:t>（文章所附的图和表必须要在正文中有引用）</w:t>
      </w:r>
    </w:p>
    <w:p w14:paraId="5732E211">
      <w:pPr>
        <w:spacing w:line="300" w:lineRule="exact"/>
        <w:ind w:firstLine="361" w:firstLineChars="200"/>
        <w:jc w:val="center"/>
        <w:rPr>
          <w:rFonts w:eastAsia="楷体"/>
          <w:sz w:val="18"/>
          <w:szCs w:val="18"/>
          <w:vertAlign w:val="superscript"/>
        </w:rPr>
      </w:pPr>
      <w:r>
        <w:rPr>
          <w:rFonts w:eastAsia="黑体"/>
          <w:b/>
          <w:bCs/>
          <w:sz w:val="18"/>
          <w:szCs w:val="18"/>
        </w:rPr>
        <w:t>表1</w:t>
      </w:r>
      <w:r>
        <w:rPr>
          <w:rFonts w:hint="eastAsia" w:eastAsia="黑体"/>
          <w:sz w:val="18"/>
          <w:szCs w:val="18"/>
        </w:rPr>
        <w:t xml:space="preserve">  </w:t>
      </w:r>
      <w:r>
        <w:rPr>
          <w:rFonts w:hint="eastAsia" w:ascii="楷体" w:hAnsi="楷体" w:eastAsia="楷体" w:cs="楷体"/>
          <w:sz w:val="18"/>
          <w:szCs w:val="18"/>
        </w:rPr>
        <w:t>与激光物理直接相关的诺贝尔物理学奖</w:t>
      </w:r>
    </w:p>
    <w:p w14:paraId="56177F57">
      <w:pPr>
        <w:spacing w:line="300" w:lineRule="exact"/>
        <w:ind w:firstLine="361" w:firstLineChars="200"/>
        <w:jc w:val="center"/>
        <w:rPr>
          <w:sz w:val="24"/>
          <w:szCs w:val="24"/>
          <w:vertAlign w:val="superscript"/>
        </w:rPr>
      </w:pPr>
      <w:r>
        <w:rPr>
          <w:rFonts w:hint="eastAsia" w:eastAsia="黑体"/>
          <w:b/>
          <w:bCs/>
          <w:sz w:val="18"/>
          <w:szCs w:val="18"/>
        </w:rPr>
        <w:t>Table</w:t>
      </w:r>
      <w:r>
        <w:rPr>
          <w:rFonts w:eastAsia="黑体"/>
          <w:b/>
          <w:bCs/>
          <w:sz w:val="18"/>
          <w:szCs w:val="18"/>
        </w:rPr>
        <w:t xml:space="preserve"> 1</w:t>
      </w:r>
      <w:r>
        <w:rPr>
          <w:rFonts w:hint="eastAsia" w:eastAsia="黑体"/>
          <w:sz w:val="18"/>
          <w:szCs w:val="18"/>
        </w:rPr>
        <w:t xml:space="preserve">  </w:t>
      </w:r>
      <w:r>
        <w:rPr>
          <w:rFonts w:eastAsia="黑体"/>
          <w:sz w:val="18"/>
          <w:szCs w:val="18"/>
        </w:rPr>
        <w:t>The Nobel Prize in physics directly related to laser physics</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7"/>
        <w:gridCol w:w="3838"/>
      </w:tblGrid>
      <w:tr w14:paraId="7643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5E7D0C4A">
            <w:pPr>
              <w:spacing w:line="276" w:lineRule="auto"/>
              <w:jc w:val="left"/>
              <w:rPr>
                <w:szCs w:val="21"/>
              </w:rPr>
            </w:pPr>
            <w:r>
              <w:rPr>
                <w:szCs w:val="21"/>
              </w:rPr>
              <w:t>获奖年份</w:t>
            </w:r>
          </w:p>
        </w:tc>
        <w:tc>
          <w:tcPr>
            <w:tcW w:w="3838" w:type="dxa"/>
          </w:tcPr>
          <w:p w14:paraId="7E4D4AFF">
            <w:pPr>
              <w:spacing w:line="276" w:lineRule="auto"/>
              <w:jc w:val="left"/>
              <w:rPr>
                <w:szCs w:val="21"/>
              </w:rPr>
            </w:pPr>
            <w:r>
              <w:rPr>
                <w:szCs w:val="21"/>
              </w:rPr>
              <w:t>获奖原因</w:t>
            </w:r>
          </w:p>
        </w:tc>
      </w:tr>
      <w:tr w14:paraId="78C45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04DDDBB9">
            <w:pPr>
              <w:spacing w:line="276" w:lineRule="auto"/>
              <w:jc w:val="left"/>
              <w:rPr>
                <w:szCs w:val="21"/>
              </w:rPr>
            </w:pPr>
            <w:r>
              <w:rPr>
                <w:szCs w:val="21"/>
              </w:rPr>
              <w:t xml:space="preserve">1964 </w:t>
            </w:r>
          </w:p>
        </w:tc>
        <w:tc>
          <w:tcPr>
            <w:tcW w:w="3838" w:type="dxa"/>
          </w:tcPr>
          <w:p w14:paraId="4E42EE7F">
            <w:pPr>
              <w:spacing w:line="276" w:lineRule="auto"/>
              <w:jc w:val="left"/>
              <w:rPr>
                <w:szCs w:val="21"/>
              </w:rPr>
            </w:pPr>
            <w:r>
              <w:rPr>
                <w:szCs w:val="21"/>
              </w:rPr>
              <w:t>微波/激光原理建造的振荡器和放大器</w:t>
            </w:r>
          </w:p>
        </w:tc>
      </w:tr>
      <w:tr w14:paraId="1F16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1E648F86">
            <w:pPr>
              <w:spacing w:line="276" w:lineRule="auto"/>
              <w:jc w:val="left"/>
              <w:rPr>
                <w:szCs w:val="21"/>
              </w:rPr>
            </w:pPr>
            <w:r>
              <w:rPr>
                <w:szCs w:val="21"/>
              </w:rPr>
              <w:t xml:space="preserve">1966 </w:t>
            </w:r>
          </w:p>
        </w:tc>
        <w:tc>
          <w:tcPr>
            <w:tcW w:w="3838" w:type="dxa"/>
          </w:tcPr>
          <w:p w14:paraId="12E2BA69">
            <w:pPr>
              <w:spacing w:line="276" w:lineRule="auto"/>
              <w:jc w:val="left"/>
              <w:rPr>
                <w:szCs w:val="21"/>
              </w:rPr>
            </w:pPr>
            <w:r>
              <w:rPr>
                <w:szCs w:val="21"/>
              </w:rPr>
              <w:t>光学方法研究核磁共振</w:t>
            </w:r>
          </w:p>
        </w:tc>
      </w:tr>
      <w:tr w14:paraId="3B73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2A1DE460">
            <w:pPr>
              <w:spacing w:line="276" w:lineRule="auto"/>
              <w:jc w:val="left"/>
              <w:rPr>
                <w:szCs w:val="21"/>
              </w:rPr>
            </w:pPr>
            <w:r>
              <w:rPr>
                <w:szCs w:val="21"/>
              </w:rPr>
              <w:t xml:space="preserve">1971 </w:t>
            </w:r>
          </w:p>
        </w:tc>
        <w:tc>
          <w:tcPr>
            <w:tcW w:w="3838" w:type="dxa"/>
          </w:tcPr>
          <w:p w14:paraId="57CF015A">
            <w:pPr>
              <w:spacing w:line="276" w:lineRule="auto"/>
              <w:jc w:val="left"/>
              <w:rPr>
                <w:szCs w:val="21"/>
              </w:rPr>
            </w:pPr>
            <w:r>
              <w:rPr>
                <w:szCs w:val="21"/>
              </w:rPr>
              <w:t>激光全息技术</w:t>
            </w:r>
          </w:p>
        </w:tc>
      </w:tr>
      <w:tr w14:paraId="6BAE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63E5FBF8">
            <w:pPr>
              <w:spacing w:line="276" w:lineRule="auto"/>
              <w:jc w:val="left"/>
              <w:rPr>
                <w:szCs w:val="21"/>
              </w:rPr>
            </w:pPr>
            <w:r>
              <w:rPr>
                <w:szCs w:val="21"/>
              </w:rPr>
              <w:t xml:space="preserve">1981 </w:t>
            </w:r>
          </w:p>
        </w:tc>
        <w:tc>
          <w:tcPr>
            <w:tcW w:w="3838" w:type="dxa"/>
          </w:tcPr>
          <w:p w14:paraId="09004D9C">
            <w:pPr>
              <w:spacing w:line="276" w:lineRule="auto"/>
              <w:jc w:val="left"/>
              <w:rPr>
                <w:szCs w:val="21"/>
              </w:rPr>
            </w:pPr>
            <w:r>
              <w:rPr>
                <w:szCs w:val="21"/>
              </w:rPr>
              <w:t>激光光谱仪</w:t>
            </w:r>
          </w:p>
        </w:tc>
      </w:tr>
      <w:tr w14:paraId="030A6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11D33E9B">
            <w:pPr>
              <w:spacing w:line="276" w:lineRule="auto"/>
              <w:jc w:val="left"/>
              <w:rPr>
                <w:szCs w:val="21"/>
              </w:rPr>
            </w:pPr>
            <w:r>
              <w:rPr>
                <w:szCs w:val="21"/>
              </w:rPr>
              <w:t xml:space="preserve">1989 </w:t>
            </w:r>
          </w:p>
        </w:tc>
        <w:tc>
          <w:tcPr>
            <w:tcW w:w="3838" w:type="dxa"/>
          </w:tcPr>
          <w:p w14:paraId="70157A86">
            <w:pPr>
              <w:spacing w:line="276" w:lineRule="auto"/>
              <w:jc w:val="left"/>
              <w:rPr>
                <w:szCs w:val="21"/>
              </w:rPr>
            </w:pPr>
            <w:r>
              <w:rPr>
                <w:szCs w:val="21"/>
              </w:rPr>
              <w:t>原子钟和原子精确光谱学</w:t>
            </w:r>
          </w:p>
        </w:tc>
      </w:tr>
      <w:tr w14:paraId="4D99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41E014DA">
            <w:pPr>
              <w:spacing w:line="276" w:lineRule="auto"/>
              <w:jc w:val="left"/>
              <w:rPr>
                <w:szCs w:val="21"/>
              </w:rPr>
            </w:pPr>
            <w:r>
              <w:rPr>
                <w:szCs w:val="21"/>
              </w:rPr>
              <w:t xml:space="preserve">1997 </w:t>
            </w:r>
          </w:p>
        </w:tc>
        <w:tc>
          <w:tcPr>
            <w:tcW w:w="3838" w:type="dxa"/>
          </w:tcPr>
          <w:p w14:paraId="4C8CB8C7">
            <w:pPr>
              <w:spacing w:line="276" w:lineRule="auto"/>
              <w:jc w:val="left"/>
              <w:rPr>
                <w:szCs w:val="21"/>
              </w:rPr>
            </w:pPr>
            <w:r>
              <w:rPr>
                <w:szCs w:val="21"/>
              </w:rPr>
              <w:t>激光冷却和俘获原子的技术</w:t>
            </w:r>
          </w:p>
        </w:tc>
      </w:tr>
      <w:tr w14:paraId="17F4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1543BFF7">
            <w:pPr>
              <w:spacing w:line="276" w:lineRule="auto"/>
              <w:jc w:val="left"/>
              <w:rPr>
                <w:szCs w:val="21"/>
              </w:rPr>
            </w:pPr>
            <w:r>
              <w:rPr>
                <w:szCs w:val="21"/>
              </w:rPr>
              <w:t xml:space="preserve">1999 </w:t>
            </w:r>
          </w:p>
        </w:tc>
        <w:tc>
          <w:tcPr>
            <w:tcW w:w="3838" w:type="dxa"/>
          </w:tcPr>
          <w:p w14:paraId="63283135">
            <w:pPr>
              <w:spacing w:line="276" w:lineRule="auto"/>
              <w:jc w:val="left"/>
              <w:rPr>
                <w:szCs w:val="21"/>
              </w:rPr>
            </w:pPr>
            <w:r>
              <w:rPr>
                <w:szCs w:val="21"/>
              </w:rPr>
              <w:t>飞秒化学</w:t>
            </w:r>
          </w:p>
        </w:tc>
      </w:tr>
      <w:tr w14:paraId="029F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20A63DEC">
            <w:pPr>
              <w:spacing w:line="276" w:lineRule="auto"/>
              <w:jc w:val="left"/>
              <w:rPr>
                <w:szCs w:val="21"/>
              </w:rPr>
            </w:pPr>
            <w:r>
              <w:rPr>
                <w:szCs w:val="21"/>
              </w:rPr>
              <w:t xml:space="preserve">2005 </w:t>
            </w:r>
          </w:p>
        </w:tc>
        <w:tc>
          <w:tcPr>
            <w:tcW w:w="3838" w:type="dxa"/>
          </w:tcPr>
          <w:p w14:paraId="24A254E3">
            <w:pPr>
              <w:spacing w:line="276" w:lineRule="auto"/>
              <w:jc w:val="left"/>
              <w:rPr>
                <w:szCs w:val="21"/>
              </w:rPr>
            </w:pPr>
            <w:r>
              <w:rPr>
                <w:szCs w:val="21"/>
              </w:rPr>
              <w:t>光学频率梳技术和激光精密光谱</w:t>
            </w:r>
          </w:p>
        </w:tc>
      </w:tr>
      <w:tr w14:paraId="779D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34636059">
            <w:pPr>
              <w:spacing w:line="276" w:lineRule="auto"/>
              <w:jc w:val="left"/>
              <w:rPr>
                <w:szCs w:val="21"/>
              </w:rPr>
            </w:pPr>
            <w:r>
              <w:rPr>
                <w:szCs w:val="21"/>
              </w:rPr>
              <w:t xml:space="preserve">2017 </w:t>
            </w:r>
          </w:p>
        </w:tc>
        <w:tc>
          <w:tcPr>
            <w:tcW w:w="3838" w:type="dxa"/>
          </w:tcPr>
          <w:p w14:paraId="637416D7">
            <w:pPr>
              <w:spacing w:line="276" w:lineRule="auto"/>
              <w:jc w:val="left"/>
              <w:rPr>
                <w:szCs w:val="21"/>
              </w:rPr>
            </w:pPr>
            <w:r>
              <w:rPr>
                <w:szCs w:val="21"/>
              </w:rPr>
              <w:t>激光反射仪引力波探测</w:t>
            </w:r>
          </w:p>
        </w:tc>
      </w:tr>
      <w:tr w14:paraId="0289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 w:type="dxa"/>
          </w:tcPr>
          <w:p w14:paraId="62A703FC">
            <w:pPr>
              <w:spacing w:line="276" w:lineRule="auto"/>
              <w:jc w:val="left"/>
              <w:rPr>
                <w:szCs w:val="21"/>
              </w:rPr>
            </w:pPr>
            <w:r>
              <w:rPr>
                <w:szCs w:val="21"/>
              </w:rPr>
              <w:t xml:space="preserve">2018 </w:t>
            </w:r>
          </w:p>
        </w:tc>
        <w:tc>
          <w:tcPr>
            <w:tcW w:w="3838" w:type="dxa"/>
          </w:tcPr>
          <w:p w14:paraId="3C50CB04">
            <w:pPr>
              <w:spacing w:line="276" w:lineRule="auto"/>
              <w:jc w:val="left"/>
              <w:rPr>
                <w:szCs w:val="21"/>
              </w:rPr>
            </w:pPr>
            <w:r>
              <w:rPr>
                <w:szCs w:val="21"/>
              </w:rPr>
              <w:t>激光物理领域的突破性发明</w:t>
            </w:r>
          </w:p>
        </w:tc>
      </w:tr>
    </w:tbl>
    <w:p w14:paraId="624D3095"/>
    <w:p w14:paraId="464DB6C5">
      <w:pPr>
        <w:spacing w:line="300" w:lineRule="exact"/>
        <w:jc w:val="left"/>
        <w:rPr>
          <w:rFonts w:eastAsia="黑体"/>
          <w:b/>
          <w:szCs w:val="21"/>
        </w:rPr>
      </w:pPr>
      <w:r>
        <w:rPr>
          <w:rFonts w:eastAsia="黑体"/>
          <w:b/>
          <w:szCs w:val="21"/>
        </w:rPr>
        <w:t>3高能量密度物理（HEDP）</w:t>
      </w:r>
    </w:p>
    <w:p w14:paraId="2E6990F7">
      <w:pPr>
        <w:spacing w:line="300" w:lineRule="exact"/>
        <w:ind w:firstLine="420" w:firstLineChars="200"/>
        <w:jc w:val="left"/>
        <w:rPr>
          <w:szCs w:val="21"/>
        </w:rPr>
      </w:pPr>
      <w:r>
        <w:rPr>
          <w:szCs w:val="21"/>
        </w:rPr>
        <w:t>高能量密度物理(HEDP)是一个全新的领域，但是在CPA发明之前没有这样的研究条件。高能量密度物理有一条边缘线，当我们比较熟悉的几个物态处于边缘线之外时，就是高能量密度的状态，</w:t>
      </w:r>
      <w:r>
        <w:rPr>
          <w:color w:val="FF0000"/>
          <w:szCs w:val="21"/>
        </w:rPr>
        <w:t>如图</w:t>
      </w:r>
      <w:r>
        <w:rPr>
          <w:rFonts w:hint="eastAsia"/>
          <w:color w:val="FF0000"/>
          <w:szCs w:val="21"/>
        </w:rPr>
        <w:t>1</w:t>
      </w:r>
      <w:r>
        <w:rPr>
          <w:szCs w:val="21"/>
        </w:rPr>
        <w:t>所示。宇宙中绝大多数的恒星及物质都处于高能量密度的状态。高能量密度物理状态的起点所对应的能量密度是10</w:t>
      </w:r>
      <w:r>
        <w:rPr>
          <w:szCs w:val="21"/>
          <w:vertAlign w:val="superscript"/>
        </w:rPr>
        <w:t>11</w:t>
      </w:r>
      <w:r>
        <w:rPr>
          <w:szCs w:val="21"/>
        </w:rPr>
        <w:t xml:space="preserve"> J/m</w:t>
      </w:r>
      <w:r>
        <w:rPr>
          <w:szCs w:val="21"/>
          <w:vertAlign w:val="superscript"/>
        </w:rPr>
        <w:t>3</w:t>
      </w:r>
      <w:r>
        <w:rPr>
          <w:szCs w:val="21"/>
        </w:rPr>
        <w:t>，它的弹性模量的极限是1Mbar，它的典型物质是高温稠密物质</w:t>
      </w:r>
      <w:r>
        <w:rPr>
          <w:rFonts w:hint="eastAsia"/>
          <w:szCs w:val="21"/>
          <w:vertAlign w:val="superscript"/>
        </w:rPr>
        <w:t>[1,3]</w:t>
      </w:r>
      <w:r>
        <w:rPr>
          <w:szCs w:val="21"/>
        </w:rPr>
        <w:t>。</w:t>
      </w:r>
    </w:p>
    <w:p w14:paraId="22EB0EB3">
      <w:pPr>
        <w:spacing w:line="300" w:lineRule="exact"/>
        <w:ind w:firstLine="420" w:firstLineChars="200"/>
        <w:jc w:val="left"/>
        <w:rPr>
          <w:szCs w:val="21"/>
        </w:rPr>
      </w:pPr>
    </w:p>
    <w:p w14:paraId="2E9FC0FF">
      <w:pPr>
        <w:jc w:val="center"/>
      </w:pPr>
      <w:r>
        <w:drawing>
          <wp:inline distT="0" distB="0" distL="0" distR="0">
            <wp:extent cx="2078990" cy="1258570"/>
            <wp:effectExtent l="0" t="0" r="3810" b="0"/>
            <wp:docPr id="2" name="图片 2"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表&#10;&#10;描述已自动生成"/>
                    <pic:cNvPicPr>
                      <a:picLocks noChangeAspect="1"/>
                    </pic:cNvPicPr>
                  </pic:nvPicPr>
                  <pic:blipFill>
                    <a:blip r:embed="rId6"/>
                    <a:stretch>
                      <a:fillRect/>
                    </a:stretch>
                  </pic:blipFill>
                  <pic:spPr>
                    <a:xfrm>
                      <a:off x="0" y="0"/>
                      <a:ext cx="2094707" cy="1268181"/>
                    </a:xfrm>
                    <a:prstGeom prst="rect">
                      <a:avLst/>
                    </a:prstGeom>
                  </pic:spPr>
                </pic:pic>
              </a:graphicData>
            </a:graphic>
          </wp:inline>
        </w:drawing>
      </w:r>
    </w:p>
    <w:p w14:paraId="41BBB38E">
      <w:pPr>
        <w:spacing w:line="240" w:lineRule="exact"/>
        <w:jc w:val="center"/>
        <w:rPr>
          <w:rFonts w:eastAsia="黑体"/>
          <w:bCs/>
          <w:sz w:val="24"/>
          <w:szCs w:val="24"/>
        </w:rPr>
      </w:pPr>
      <w:r>
        <w:rPr>
          <w:rFonts w:hint="eastAsia" w:ascii="黑体" w:hAnsi="黑体" w:eastAsia="黑体" w:cs="黑体"/>
          <w:b/>
          <w:sz w:val="18"/>
          <w:szCs w:val="18"/>
          <w:lang w:eastAsia="zh-Hans"/>
        </w:rPr>
        <w:t>图1</w:t>
      </w:r>
      <w:r>
        <w:rPr>
          <w:rFonts w:eastAsia="黑体"/>
          <w:bCs/>
          <w:sz w:val="18"/>
          <w:szCs w:val="18"/>
          <w:lang w:eastAsia="zh-Hans"/>
        </w:rPr>
        <w:t xml:space="preserve"> </w:t>
      </w:r>
      <w:r>
        <w:rPr>
          <w:rFonts w:hint="eastAsia" w:eastAsia="黑体"/>
          <w:bCs/>
          <w:sz w:val="18"/>
          <w:szCs w:val="18"/>
        </w:rPr>
        <w:t xml:space="preserve"> </w:t>
      </w:r>
      <w:r>
        <w:rPr>
          <w:rFonts w:hint="eastAsia" w:ascii="宋体" w:hAnsi="宋体" w:cs="宋体"/>
          <w:bCs/>
          <w:sz w:val="18"/>
          <w:szCs w:val="18"/>
          <w:lang w:eastAsia="zh-Hans"/>
        </w:rPr>
        <w:t>能量密度状态图</w:t>
      </w:r>
    </w:p>
    <w:p w14:paraId="58E41BE9">
      <w:pPr>
        <w:spacing w:line="240" w:lineRule="exact"/>
        <w:jc w:val="center"/>
        <w:rPr>
          <w:rStyle w:val="12"/>
          <w:rFonts w:eastAsia="黑体"/>
          <w:bCs/>
          <w:sz w:val="15"/>
          <w:szCs w:val="15"/>
        </w:rPr>
      </w:pPr>
      <w:r>
        <w:rPr>
          <w:rStyle w:val="12"/>
          <w:rFonts w:eastAsia="黑体"/>
          <w:b/>
          <w:sz w:val="18"/>
          <w:szCs w:val="18"/>
        </w:rPr>
        <w:t>F</w:t>
      </w:r>
      <w:r>
        <w:rPr>
          <w:rStyle w:val="12"/>
          <w:rFonts w:hint="eastAsia" w:eastAsia="黑体"/>
          <w:b/>
          <w:sz w:val="18"/>
          <w:szCs w:val="18"/>
          <w:lang w:eastAsia="zh-Hans"/>
        </w:rPr>
        <w:t>ig</w:t>
      </w:r>
      <w:r>
        <w:rPr>
          <w:rStyle w:val="12"/>
          <w:rFonts w:hint="eastAsia" w:eastAsia="黑体"/>
          <w:b/>
          <w:sz w:val="18"/>
          <w:szCs w:val="18"/>
          <w:lang w:val="en-US" w:eastAsia="zh-CN"/>
        </w:rPr>
        <w:t xml:space="preserve">ure </w:t>
      </w:r>
      <w:r>
        <w:rPr>
          <w:rStyle w:val="12"/>
          <w:rFonts w:eastAsia="黑体"/>
          <w:b/>
          <w:sz w:val="18"/>
          <w:szCs w:val="18"/>
          <w:lang w:eastAsia="zh-Hans"/>
        </w:rPr>
        <w:t>1</w:t>
      </w:r>
      <w:r>
        <w:rPr>
          <w:rStyle w:val="12"/>
          <w:rFonts w:eastAsia="黑体"/>
          <w:bCs/>
          <w:sz w:val="18"/>
          <w:szCs w:val="18"/>
          <w:lang w:eastAsia="zh-Hans"/>
        </w:rPr>
        <w:t xml:space="preserve"> </w:t>
      </w:r>
      <w:r>
        <w:rPr>
          <w:rStyle w:val="12"/>
          <w:rFonts w:hint="eastAsia" w:eastAsia="黑体"/>
          <w:bCs/>
          <w:sz w:val="18"/>
          <w:szCs w:val="18"/>
        </w:rPr>
        <w:t xml:space="preserve"> </w:t>
      </w:r>
      <w:r>
        <w:rPr>
          <w:rFonts w:eastAsia="黑体"/>
          <w:bCs/>
          <w:sz w:val="18"/>
          <w:szCs w:val="18"/>
          <w:lang w:eastAsia="zh-Hans"/>
        </w:rPr>
        <w:t>Energy density state diagram</w:t>
      </w:r>
    </w:p>
    <w:p w14:paraId="420FA4DE">
      <w:pPr>
        <w:ind w:firstLine="420"/>
      </w:pPr>
      <w:r>
        <w:rPr>
          <w:rFonts w:hint="eastAsia"/>
        </w:rPr>
        <w:t>如需插入公式可使用word自带编辑器，行内示例为</w:t>
      </w:r>
      <m:oMath>
        <m:sSup>
          <m:sSupPr>
            <m:ctrlPr>
              <w:rPr>
                <w:rFonts w:ascii="Cambria Math" w:hAnsi="Cambria Math"/>
                <w:i/>
              </w:rPr>
            </m:ctrlPr>
          </m:sSupPr>
          <m:e>
            <m:r>
              <m:rPr/>
              <w:rPr>
                <w:rFonts w:hint="eastAsia" w:ascii="Cambria Math" w:hAnsi="Cambria Math"/>
              </w:rPr>
              <m:t>a</m:t>
            </m:r>
            <m:ctrlPr>
              <w:rPr>
                <w:rFonts w:hint="eastAsia" w:ascii="Cambria Math" w:hAnsi="Cambria Math"/>
                <w:i/>
              </w:rPr>
            </m:ctrlPr>
          </m:e>
          <m:sup>
            <m:r>
              <m:rPr/>
              <w:rPr>
                <w:rFonts w:ascii="Cambria Math" w:hAnsi="Cambria Math"/>
              </w:rPr>
              <m:t>2</m:t>
            </m:r>
            <m:ctrlPr>
              <w:rPr>
                <w:rFonts w:ascii="Cambria Math" w:hAnsi="Cambria Math"/>
                <w:i/>
              </w:rPr>
            </m:ctrlPr>
          </m:sup>
        </m:sSup>
        <m:r>
          <m:rPr/>
          <w:rPr>
            <w:rFonts w:ascii="Cambria Math" w:hAnsi="Cambria Math"/>
          </w:rPr>
          <m:t>−</m:t>
        </m:r>
        <m:sSup>
          <m:sSupPr>
            <m:ctrlPr>
              <w:rPr>
                <w:rFonts w:ascii="Cambria Math" w:hAnsi="Cambria Math"/>
                <w:i/>
              </w:rPr>
            </m:ctrlPr>
          </m:sSupPr>
          <m:e>
            <m:r>
              <m:rPr/>
              <w:rPr>
                <w:rFonts w:ascii="Cambria Math" w:hAnsi="Cambria Math"/>
              </w:rPr>
              <m:t>b</m:t>
            </m:r>
            <m:ctrlPr>
              <w:rPr>
                <w:rFonts w:ascii="Cambria Math" w:hAnsi="Cambria Math"/>
                <w:i/>
              </w:rPr>
            </m:ctrlPr>
          </m:e>
          <m:sup>
            <m:r>
              <m:rPr/>
              <w:rPr>
                <w:rFonts w:ascii="Cambria Math" w:hAnsi="Cambria Math"/>
              </w:rPr>
              <m:t>2</m:t>
            </m:r>
            <m:ctrlPr>
              <w:rPr>
                <w:rFonts w:ascii="Cambria Math" w:hAnsi="Cambria Math"/>
                <w:i/>
              </w:rPr>
            </m:ctrlPr>
          </m:sup>
        </m:sSup>
        <m:r>
          <m:rPr/>
          <w:rPr>
            <w:rFonts w:ascii="Cambria Math" w:hAnsi="Cambria Math"/>
          </w:rPr>
          <m:t>=</m:t>
        </m:r>
        <m:sSup>
          <m:sSupPr>
            <m:ctrlPr>
              <w:rPr>
                <w:rFonts w:ascii="Cambria Math" w:hAnsi="Cambria Math"/>
                <w:i/>
              </w:rPr>
            </m:ctrlPr>
          </m:sSupPr>
          <m:e>
            <m:r>
              <m:rPr/>
              <w:rPr>
                <w:rFonts w:ascii="Cambria Math" w:hAnsi="Cambria Math"/>
              </w:rPr>
              <m:t>γ</m:t>
            </m:r>
            <m:ctrlPr>
              <w:rPr>
                <w:rFonts w:ascii="Cambria Math" w:hAnsi="Cambria Math"/>
                <w:i/>
              </w:rPr>
            </m:ctrlPr>
          </m:e>
          <m:sup>
            <m:r>
              <m:rPr/>
              <w:rPr>
                <w:rFonts w:ascii="Cambria Math" w:hAnsi="Cambria Math"/>
              </w:rPr>
              <m:t>2</m:t>
            </m:r>
            <m:ctrlPr>
              <w:rPr>
                <w:rFonts w:ascii="Cambria Math" w:hAnsi="Cambria Math"/>
                <w:i/>
              </w:rPr>
            </m:ctrlPr>
          </m:sup>
        </m:sSup>
      </m:oMath>
      <w:r>
        <w:rPr>
          <w:rFonts w:hint="eastAsia"/>
        </w:rPr>
        <w:t>；行间示例为</w:t>
      </w:r>
    </w:p>
    <w:p w14:paraId="6D34AFB6">
      <w:pPr>
        <w:ind w:firstLine="420"/>
      </w:pPr>
    </w:p>
    <w:tbl>
      <w:tblPr>
        <w:tblStyle w:val="19"/>
        <w:tblW w:w="83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06"/>
        <w:gridCol w:w="6910"/>
        <w:gridCol w:w="701"/>
      </w:tblGrid>
      <w:tr w14:paraId="3B519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706" w:type="dxa"/>
            <w:vAlign w:val="center"/>
          </w:tcPr>
          <w:p w14:paraId="1945DBDF">
            <w:pPr>
              <w:pStyle w:val="2"/>
              <w:rPr>
                <w:kern w:val="0"/>
                <w:sz w:val="21"/>
                <w:szCs w:val="21"/>
              </w:rPr>
            </w:pPr>
          </w:p>
        </w:tc>
        <w:tc>
          <w:tcPr>
            <w:tcW w:w="6910" w:type="dxa"/>
            <w:vAlign w:val="center"/>
          </w:tcPr>
          <w:p w14:paraId="2810AC24">
            <w:pPr>
              <w:spacing w:after="240"/>
              <w:jc w:val="center"/>
              <w:rPr>
                <w:rFonts w:ascii="Cambria Math" w:hAnsi="Cambria Math"/>
                <w:i/>
                <w:kern w:val="0"/>
                <w:szCs w:val="21"/>
              </w:rPr>
            </w:pPr>
            <m:oMath>
              <m:sSup>
                <m:sSupPr>
                  <m:ctrlPr>
                    <w:rPr>
                      <w:rFonts w:ascii="Cambria Math" w:hAnsi="Cambria Math"/>
                      <w:i/>
                      <w:kern w:val="0"/>
                      <w:sz w:val="24"/>
                    </w:rPr>
                  </m:ctrlPr>
                </m:sSupPr>
                <m:e>
                  <m:r>
                    <m:rPr/>
                    <w:rPr>
                      <w:rFonts w:hint="eastAsia" w:ascii="Cambria Math" w:hAnsi="Cambria Math"/>
                      <w:kern w:val="0"/>
                      <w:sz w:val="24"/>
                    </w:rPr>
                    <m:t>a</m:t>
                  </m:r>
                  <m:ctrlPr>
                    <w:rPr>
                      <w:rFonts w:hint="eastAsia" w:ascii="Cambria Math" w:hAnsi="Cambria Math"/>
                      <w:i/>
                      <w:kern w:val="0"/>
                      <w:sz w:val="24"/>
                    </w:rPr>
                  </m:ctrlPr>
                </m:e>
                <m:sup>
                  <m:r>
                    <m:rPr/>
                    <w:rPr>
                      <w:rFonts w:ascii="Cambria Math" w:hAnsi="Cambria Math"/>
                      <w:kern w:val="0"/>
                      <w:sz w:val="24"/>
                    </w:rPr>
                    <m:t>2</m:t>
                  </m:r>
                  <m:ctrlPr>
                    <w:rPr>
                      <w:rFonts w:ascii="Cambria Math" w:hAnsi="Cambria Math"/>
                      <w:i/>
                      <w:kern w:val="0"/>
                      <w:sz w:val="24"/>
                    </w:rPr>
                  </m:ctrlPr>
                </m:sup>
              </m:sSup>
              <m:r>
                <m:rPr/>
                <w:rPr>
                  <w:rFonts w:ascii="Cambria Math" w:hAnsi="Cambria Math"/>
                  <w:kern w:val="0"/>
                  <w:sz w:val="24"/>
                </w:rPr>
                <m:t>−</m:t>
              </m:r>
              <m:sSup>
                <m:sSupPr>
                  <m:ctrlPr>
                    <w:rPr>
                      <w:rFonts w:ascii="Cambria Math" w:hAnsi="Cambria Math"/>
                      <w:i/>
                      <w:kern w:val="0"/>
                      <w:sz w:val="24"/>
                    </w:rPr>
                  </m:ctrlPr>
                </m:sSupPr>
                <m:e>
                  <m:r>
                    <m:rPr/>
                    <w:rPr>
                      <w:rFonts w:ascii="Cambria Math" w:hAnsi="Cambria Math"/>
                      <w:kern w:val="0"/>
                      <w:sz w:val="24"/>
                    </w:rPr>
                    <m:t>b</m:t>
                  </m:r>
                  <m:ctrlPr>
                    <w:rPr>
                      <w:rFonts w:ascii="Cambria Math" w:hAnsi="Cambria Math"/>
                      <w:i/>
                      <w:kern w:val="0"/>
                      <w:sz w:val="24"/>
                    </w:rPr>
                  </m:ctrlPr>
                </m:e>
                <m:sup>
                  <m:r>
                    <m:rPr/>
                    <w:rPr>
                      <w:rFonts w:ascii="Cambria Math" w:hAnsi="Cambria Math"/>
                      <w:kern w:val="0"/>
                      <w:sz w:val="24"/>
                    </w:rPr>
                    <m:t>2</m:t>
                  </m:r>
                  <m:ctrlPr>
                    <w:rPr>
                      <w:rFonts w:ascii="Cambria Math" w:hAnsi="Cambria Math"/>
                      <w:i/>
                      <w:kern w:val="0"/>
                      <w:sz w:val="24"/>
                    </w:rPr>
                  </m:ctrlPr>
                </m:sup>
              </m:sSup>
              <m:r>
                <m:rPr/>
                <w:rPr>
                  <w:rFonts w:ascii="Cambria Math" w:hAnsi="Cambria Math"/>
                  <w:kern w:val="0"/>
                  <w:sz w:val="24"/>
                </w:rPr>
                <m:t>=</m:t>
              </m:r>
              <m:sSup>
                <m:sSupPr>
                  <m:ctrlPr>
                    <w:rPr>
                      <w:rFonts w:ascii="Cambria Math" w:hAnsi="Cambria Math"/>
                      <w:i/>
                      <w:kern w:val="0"/>
                      <w:sz w:val="24"/>
                    </w:rPr>
                  </m:ctrlPr>
                </m:sSupPr>
                <m:e>
                  <m:r>
                    <m:rPr/>
                    <w:rPr>
                      <w:rFonts w:ascii="Cambria Math" w:hAnsi="Cambria Math"/>
                      <w:kern w:val="0"/>
                      <w:sz w:val="24"/>
                    </w:rPr>
                    <m:t>γ</m:t>
                  </m:r>
                  <m:ctrlPr>
                    <w:rPr>
                      <w:rFonts w:ascii="Cambria Math" w:hAnsi="Cambria Math"/>
                      <w:i/>
                      <w:kern w:val="0"/>
                      <w:sz w:val="24"/>
                    </w:rPr>
                  </m:ctrlPr>
                </m:e>
                <m:sup>
                  <m:r>
                    <m:rPr/>
                    <w:rPr>
                      <w:rFonts w:ascii="Cambria Math" w:hAnsi="Cambria Math"/>
                      <w:kern w:val="0"/>
                      <w:sz w:val="24"/>
                    </w:rPr>
                    <m:t>2</m:t>
                  </m:r>
                  <m:ctrlPr>
                    <w:rPr>
                      <w:rFonts w:ascii="Cambria Math" w:hAnsi="Cambria Math"/>
                      <w:i/>
                      <w:kern w:val="0"/>
                      <w:sz w:val="24"/>
                    </w:rPr>
                  </m:ctrlPr>
                </m:sup>
              </m:sSup>
            </m:oMath>
            <w:r>
              <w:rPr>
                <w:rFonts w:hint="eastAsia" w:hAnsi="Cambria Math"/>
                <w:iCs/>
                <w:kern w:val="0"/>
                <w:sz w:val="24"/>
              </w:rPr>
              <w:t>。</w:t>
            </w:r>
          </w:p>
        </w:tc>
        <w:tc>
          <w:tcPr>
            <w:tcW w:w="701" w:type="dxa"/>
            <w:vAlign w:val="center"/>
          </w:tcPr>
          <w:p w14:paraId="22A8A869">
            <w:pPr>
              <w:keepNext/>
              <w:jc w:val="center"/>
              <w:rPr>
                <w:rFonts w:ascii="Calibri" w:hAnsi="Calibri" w:eastAsia="等线"/>
                <w:kern w:val="0"/>
                <w:szCs w:val="21"/>
              </w:rPr>
            </w:pPr>
            <w:bookmarkStart w:id="2" w:name="EQ1"/>
            <w:r>
              <w:rPr>
                <w:rFonts w:ascii="Calibri" w:hAnsi="Calibri" w:eastAsia="等线"/>
                <w:kern w:val="0"/>
                <w:szCs w:val="21"/>
              </w:rPr>
              <w:t>(</w:t>
            </w:r>
            <w:r>
              <w:rPr>
                <w:rFonts w:ascii="Calibri" w:hAnsi="Calibri" w:eastAsia="等线"/>
                <w:kern w:val="0"/>
                <w:sz w:val="24"/>
                <w:szCs w:val="21"/>
              </w:rPr>
              <w:fldChar w:fldCharType="begin"/>
            </w:r>
            <w:r>
              <w:rPr>
                <w:rFonts w:ascii="Calibri" w:hAnsi="Calibri" w:eastAsia="等线"/>
                <w:kern w:val="0"/>
                <w:szCs w:val="21"/>
              </w:rPr>
              <w:instrText xml:space="preserve"> SEQ Eq \* MERGEFORMAT </w:instrText>
            </w:r>
            <w:r>
              <w:rPr>
                <w:rFonts w:ascii="Calibri" w:hAnsi="Calibri" w:eastAsia="等线"/>
                <w:kern w:val="0"/>
                <w:sz w:val="24"/>
                <w:szCs w:val="21"/>
              </w:rPr>
              <w:fldChar w:fldCharType="separate"/>
            </w:r>
            <w:r>
              <w:rPr>
                <w:rFonts w:ascii="Calibri" w:hAnsi="Calibri" w:eastAsia="等线"/>
                <w:kern w:val="0"/>
                <w:szCs w:val="21"/>
              </w:rPr>
              <w:t>1</w:t>
            </w:r>
            <w:r>
              <w:rPr>
                <w:rFonts w:ascii="Calibri" w:hAnsi="Calibri" w:eastAsia="等线"/>
                <w:kern w:val="0"/>
                <w:sz w:val="24"/>
                <w:szCs w:val="21"/>
              </w:rPr>
              <w:fldChar w:fldCharType="end"/>
            </w:r>
            <w:r>
              <w:rPr>
                <w:rFonts w:ascii="Calibri" w:hAnsi="Calibri" w:eastAsia="等线"/>
                <w:kern w:val="0"/>
                <w:szCs w:val="21"/>
              </w:rPr>
              <w:t>)</w:t>
            </w:r>
            <w:bookmarkEnd w:id="2"/>
          </w:p>
        </w:tc>
      </w:tr>
    </w:tbl>
    <w:p w14:paraId="44B3A364">
      <w:r>
        <w:rPr>
          <w:rFonts w:hint="eastAsia"/>
        </w:rPr>
        <w:t>公式自动编号，更新编号方式为选中所有内容</w:t>
      </w:r>
      <w:r>
        <w:rPr>
          <w:rFonts w:hint="eastAsia"/>
          <w:lang w:eastAsia="zh-CN"/>
        </w:rPr>
        <w:t>—</w:t>
      </w:r>
      <w:r>
        <w:rPr>
          <w:rFonts w:hint="eastAsia"/>
        </w:rPr>
        <w:t>右键</w:t>
      </w:r>
      <w:r>
        <w:rPr>
          <w:rFonts w:hint="eastAsia"/>
          <w:lang w:eastAsia="zh-CN"/>
        </w:rPr>
        <w:t>—</w:t>
      </w:r>
      <w:r>
        <w:rPr>
          <w:rFonts w:hint="eastAsia"/>
        </w:rPr>
        <w:t>更新域。</w:t>
      </w:r>
    </w:p>
    <w:p w14:paraId="3A90181B">
      <w:r>
        <w:tab/>
      </w:r>
      <w:r>
        <w:rPr>
          <w:rFonts w:hint="eastAsia"/>
        </w:rPr>
        <w:t>也可使用Mathtype编辑后插入公式，例如</w:t>
      </w:r>
    </w:p>
    <w:tbl>
      <w:tblPr>
        <w:tblStyle w:val="19"/>
        <w:tblW w:w="83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06"/>
        <w:gridCol w:w="6910"/>
        <w:gridCol w:w="701"/>
      </w:tblGrid>
      <w:tr w14:paraId="6FD62F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706" w:type="dxa"/>
            <w:vAlign w:val="center"/>
          </w:tcPr>
          <w:p w14:paraId="44F9A969">
            <w:pPr>
              <w:pStyle w:val="2"/>
              <w:rPr>
                <w:kern w:val="0"/>
                <w:sz w:val="21"/>
                <w:szCs w:val="21"/>
              </w:rPr>
            </w:pPr>
          </w:p>
        </w:tc>
        <w:tc>
          <w:tcPr>
            <w:tcW w:w="6910" w:type="dxa"/>
            <w:vAlign w:val="center"/>
          </w:tcPr>
          <w:p w14:paraId="38E506AC">
            <w:pPr>
              <w:spacing w:after="240"/>
              <w:jc w:val="center"/>
              <w:rPr>
                <w:rFonts w:ascii="Cambria Math" w:hAnsi="Cambria Math"/>
                <w:iCs/>
                <w:kern w:val="0"/>
                <w:szCs w:val="21"/>
              </w:rPr>
            </w:pPr>
            <w:r>
              <w:rPr>
                <w:rFonts w:hint="eastAsia"/>
                <w:position w:val="-10"/>
              </w:rPr>
              <w:object>
                <v:shape id="_x0000_i1025" o:spt="75" type="#_x0000_t75" style="height:18.2pt;width:61.65pt;" o:ole="t" filled="f" o:preferrelative="t" stroked="f" coordsize="21600,21600">
                  <v:path/>
                  <v:fill on="f" focussize="0,0"/>
                  <v:stroke on="f" joinstyle="miter"/>
                  <v:imagedata r:id="rId8" o:title=""/>
                  <o:lock v:ext="edit" aspectratio="t"/>
                  <w10:wrap type="none"/>
                  <w10:anchorlock/>
                </v:shape>
                <o:OLEObject Type="Embed" ProgID="Equation.DSMT4" ShapeID="_x0000_i1025" DrawAspect="Content" ObjectID="_1468075725" r:id="rId7">
                  <o:LockedField>false</o:LockedField>
                </o:OLEObject>
              </w:object>
            </w:r>
          </w:p>
        </w:tc>
        <w:tc>
          <w:tcPr>
            <w:tcW w:w="701" w:type="dxa"/>
            <w:vAlign w:val="center"/>
          </w:tcPr>
          <w:p w14:paraId="453DD30B">
            <w:pPr>
              <w:keepNext/>
              <w:jc w:val="center"/>
              <w:rPr>
                <w:rFonts w:ascii="Calibri" w:hAnsi="Calibri" w:eastAsia="等线"/>
                <w:kern w:val="0"/>
                <w:szCs w:val="21"/>
              </w:rPr>
            </w:pPr>
            <w:r>
              <w:rPr>
                <w:rFonts w:ascii="Calibri" w:hAnsi="Calibri" w:eastAsia="等线"/>
                <w:kern w:val="0"/>
                <w:szCs w:val="21"/>
              </w:rPr>
              <w:t>(</w:t>
            </w:r>
            <w:r>
              <w:rPr>
                <w:rFonts w:ascii="Calibri" w:hAnsi="Calibri" w:eastAsia="等线"/>
                <w:kern w:val="0"/>
                <w:sz w:val="24"/>
                <w:szCs w:val="21"/>
              </w:rPr>
              <w:fldChar w:fldCharType="begin"/>
            </w:r>
            <w:r>
              <w:rPr>
                <w:rFonts w:ascii="Calibri" w:hAnsi="Calibri" w:eastAsia="等线"/>
                <w:kern w:val="0"/>
                <w:szCs w:val="21"/>
              </w:rPr>
              <w:instrText xml:space="preserve"> SEQ Eq \* MERGEFORMAT </w:instrText>
            </w:r>
            <w:r>
              <w:rPr>
                <w:rFonts w:ascii="Calibri" w:hAnsi="Calibri" w:eastAsia="等线"/>
                <w:kern w:val="0"/>
                <w:sz w:val="24"/>
                <w:szCs w:val="21"/>
              </w:rPr>
              <w:fldChar w:fldCharType="separate"/>
            </w:r>
            <w:r>
              <w:rPr>
                <w:rFonts w:ascii="Calibri" w:hAnsi="Calibri" w:eastAsia="等线"/>
                <w:kern w:val="0"/>
                <w:szCs w:val="21"/>
              </w:rPr>
              <w:t>2</w:t>
            </w:r>
            <w:r>
              <w:rPr>
                <w:rFonts w:ascii="Calibri" w:hAnsi="Calibri" w:eastAsia="等线"/>
                <w:kern w:val="0"/>
                <w:sz w:val="24"/>
                <w:szCs w:val="21"/>
              </w:rPr>
              <w:fldChar w:fldCharType="end"/>
            </w:r>
            <w:r>
              <w:rPr>
                <w:rFonts w:ascii="Calibri" w:hAnsi="Calibri" w:eastAsia="等线"/>
                <w:kern w:val="0"/>
                <w:szCs w:val="21"/>
              </w:rPr>
              <w:t>)</w:t>
            </w:r>
          </w:p>
        </w:tc>
      </w:tr>
    </w:tbl>
    <w:p w14:paraId="06EFE228"/>
    <w:p w14:paraId="3BC3D7FF"/>
    <w:p w14:paraId="634225B4">
      <w:pPr>
        <w:spacing w:line="300" w:lineRule="exact"/>
        <w:rPr>
          <w:rFonts w:eastAsia="黑体"/>
          <w:b/>
          <w:szCs w:val="21"/>
        </w:rPr>
      </w:pPr>
    </w:p>
    <w:p w14:paraId="7BAD62F2">
      <w:pPr>
        <w:spacing w:line="300" w:lineRule="exact"/>
        <w:rPr>
          <w:rFonts w:eastAsia="黑体"/>
          <w:b/>
          <w:szCs w:val="21"/>
        </w:rPr>
      </w:pPr>
      <w:r>
        <w:rPr>
          <w:rFonts w:eastAsia="黑体"/>
          <w:b/>
          <w:szCs w:val="21"/>
        </w:rPr>
        <w:t>4 总结与展望</w:t>
      </w:r>
    </w:p>
    <w:p w14:paraId="45B9E815">
      <w:pPr>
        <w:spacing w:line="300" w:lineRule="exact"/>
        <w:ind w:firstLine="420" w:firstLineChars="200"/>
        <w:jc w:val="left"/>
        <w:rPr>
          <w:szCs w:val="21"/>
        </w:rPr>
      </w:pPr>
      <w:r>
        <w:rPr>
          <w:szCs w:val="21"/>
        </w:rPr>
        <w:t>我们简要回顾了强激光技术60年来走过的历程</w:t>
      </w:r>
      <w:r>
        <w:rPr>
          <w:rFonts w:hint="eastAsia"/>
          <w:szCs w:val="21"/>
          <w:vertAlign w:val="superscript"/>
        </w:rPr>
        <w:t>[2,5]</w:t>
      </w:r>
      <w:r>
        <w:rPr>
          <w:szCs w:val="21"/>
        </w:rPr>
        <w:t>，介绍了我们</w:t>
      </w:r>
      <w:r>
        <w:rPr>
          <w:rFonts w:hint="eastAsia"/>
          <w:szCs w:val="21"/>
        </w:rPr>
        <w:t>研究</w:t>
      </w:r>
      <w:r>
        <w:rPr>
          <w:szCs w:val="21"/>
        </w:rPr>
        <w:t>团队在过去的十几年时间里所做的一些研究工作</w:t>
      </w:r>
      <w:r>
        <w:rPr>
          <w:rFonts w:hint="eastAsia"/>
          <w:szCs w:val="21"/>
          <w:vertAlign w:val="superscript"/>
        </w:rPr>
        <w:t>[5]</w:t>
      </w:r>
      <w:r>
        <w:rPr>
          <w:szCs w:val="21"/>
        </w:rPr>
        <w:t>。我们过去的研究主要是以相对论电子为主，未来我们将推进到高能量密度物理的极端相对论强度，主要研究质子在高速运动过程中衍生出的一些物理效应；另外，QPCPA方案有望把我们带到百拍瓦的量级。我们还要大幅度提升激光的尾波加速和次级辐射的品质，开展高耦合效率的级联电子加速，并且利用电子束或飞秒激光脉冲对撞的汤姆逊散射，研究强激光下的量子电动力学(QED)效应</w:t>
      </w:r>
      <w:r>
        <w:rPr>
          <w:rFonts w:hint="eastAsia"/>
          <w:szCs w:val="21"/>
          <w:vertAlign w:val="superscript"/>
        </w:rPr>
        <w:t>[2-5]</w:t>
      </w:r>
      <w:r>
        <w:rPr>
          <w:szCs w:val="21"/>
        </w:rPr>
        <w:t>，我们还将继续探索强激光、QED、高能伽马光子以及自旋极化的正负电子等的等离子体物理的新前沿，将他们更好地利用起来。</w:t>
      </w:r>
    </w:p>
    <w:p w14:paraId="08094560"/>
    <w:p w14:paraId="66B71BE2">
      <w:pPr>
        <w:spacing w:line="300" w:lineRule="exact"/>
        <w:jc w:val="center"/>
        <w:rPr>
          <w:rFonts w:eastAsia="黑体"/>
          <w:color w:val="000000" w:themeColor="text1"/>
          <w:sz w:val="20"/>
          <w:szCs w:val="20"/>
          <w14:textFill>
            <w14:solidFill>
              <w14:schemeClr w14:val="tx1"/>
            </w14:solidFill>
          </w14:textFill>
        </w:rPr>
      </w:pPr>
      <w:r>
        <w:rPr>
          <w:rFonts w:eastAsia="黑体"/>
          <w:color w:val="000000" w:themeColor="text1"/>
          <w:sz w:val="20"/>
          <w:szCs w:val="20"/>
          <w14:textFill>
            <w14:solidFill>
              <w14:schemeClr w14:val="tx1"/>
            </w14:solidFill>
          </w14:textFill>
        </w:rPr>
        <w:t>参考文献</w:t>
      </w:r>
    </w:p>
    <w:p w14:paraId="19B5AD28">
      <w:pPr>
        <w:spacing w:line="300" w:lineRule="exact"/>
        <w:jc w:val="center"/>
        <w:rPr>
          <w:rFonts w:eastAsia="黑体"/>
          <w:color w:val="000000" w:themeColor="text1"/>
          <w:sz w:val="18"/>
          <w:szCs w:val="18"/>
          <w14:textFill>
            <w14:solidFill>
              <w14:schemeClr w14:val="tx1"/>
            </w14:solidFill>
          </w14:textFill>
        </w:rPr>
      </w:pPr>
      <w:r>
        <w:rPr>
          <w:rFonts w:hint="eastAsia" w:eastAsia="黑体"/>
          <w:color w:val="000000" w:themeColor="text1"/>
          <w:sz w:val="18"/>
          <w:szCs w:val="18"/>
          <w14:textFill>
            <w14:solidFill>
              <w14:schemeClr w14:val="tx1"/>
            </w14:solidFill>
          </w14:textFill>
        </w:rPr>
        <w:t>（遵照GB/T</w:t>
      </w:r>
      <w:r>
        <w:rPr>
          <w:rFonts w:hint="eastAsia" w:eastAsia="黑体"/>
          <w:color w:val="000000" w:themeColor="text1"/>
          <w:sz w:val="18"/>
          <w:szCs w:val="18"/>
          <w:lang w:val="en-US" w:eastAsia="zh-CN"/>
          <w14:textFill>
            <w14:solidFill>
              <w14:schemeClr w14:val="tx1"/>
            </w14:solidFill>
          </w14:textFill>
        </w:rPr>
        <w:t xml:space="preserve"> </w:t>
      </w:r>
      <w:r>
        <w:rPr>
          <w:rFonts w:hint="eastAsia" w:eastAsia="黑体"/>
          <w:color w:val="000000" w:themeColor="text1"/>
          <w:sz w:val="18"/>
          <w:szCs w:val="18"/>
          <w14:textFill>
            <w14:solidFill>
              <w14:schemeClr w14:val="tx1"/>
            </w14:solidFill>
          </w14:textFill>
        </w:rPr>
        <w:t>7714</w:t>
      </w:r>
      <w:r>
        <w:rPr>
          <w:rFonts w:hint="eastAsia" w:eastAsia="黑体"/>
          <w:color w:val="000000" w:themeColor="text1"/>
          <w:sz w:val="18"/>
          <w:szCs w:val="18"/>
          <w:lang w:val="en-US" w:eastAsia="zh-CN"/>
          <w14:textFill>
            <w14:solidFill>
              <w14:schemeClr w14:val="tx1"/>
            </w14:solidFill>
          </w14:textFill>
        </w:rPr>
        <w:t>—2025</w:t>
      </w:r>
      <w:r>
        <w:rPr>
          <w:rFonts w:hint="eastAsia" w:eastAsia="黑体"/>
          <w:color w:val="000000" w:themeColor="text1"/>
          <w:sz w:val="18"/>
          <w:szCs w:val="18"/>
          <w14:textFill>
            <w14:solidFill>
              <w14:schemeClr w14:val="tx1"/>
            </w14:solidFill>
          </w14:textFill>
        </w:rPr>
        <w:t>格式，具体说明见下方《详细说明》）</w:t>
      </w:r>
    </w:p>
    <w:p w14:paraId="69C09B44">
      <w:pPr>
        <w:numPr>
          <w:ilvl w:val="0"/>
          <w:numId w:val="3"/>
        </w:numPr>
        <w:spacing w:line="300" w:lineRule="exact"/>
        <w:jc w:val="left"/>
        <w:rPr>
          <w:sz w:val="15"/>
          <w:szCs w:val="15"/>
          <w:shd w:val="clear" w:color="auto" w:fill="FFFFFF"/>
        </w:rPr>
      </w:pPr>
      <w:bookmarkStart w:id="3" w:name="_Ref101858392"/>
      <w:r>
        <w:rPr>
          <w:sz w:val="15"/>
          <w:szCs w:val="15"/>
          <w:shd w:val="clear" w:color="auto" w:fill="FFFFFF"/>
        </w:rPr>
        <w:t>S</w:t>
      </w:r>
      <w:r>
        <w:rPr>
          <w:rFonts w:hint="eastAsia"/>
          <w:sz w:val="15"/>
          <w:szCs w:val="15"/>
          <w:shd w:val="clear" w:color="auto" w:fill="FFFFFF"/>
          <w:lang w:val="en-US" w:eastAsia="zh-CN"/>
        </w:rPr>
        <w:t>trickland</w:t>
      </w:r>
      <w:r>
        <w:rPr>
          <w:sz w:val="15"/>
          <w:szCs w:val="15"/>
          <w:shd w:val="clear" w:color="auto" w:fill="FFFFFF"/>
        </w:rPr>
        <w:t xml:space="preserve"> D, M</w:t>
      </w:r>
      <w:r>
        <w:rPr>
          <w:rFonts w:hint="eastAsia"/>
          <w:sz w:val="15"/>
          <w:szCs w:val="15"/>
          <w:shd w:val="clear" w:color="auto" w:fill="FFFFFF"/>
          <w:lang w:val="en-US" w:eastAsia="zh-CN"/>
        </w:rPr>
        <w:t>ourou</w:t>
      </w:r>
      <w:r>
        <w:rPr>
          <w:sz w:val="15"/>
          <w:szCs w:val="15"/>
          <w:shd w:val="clear" w:color="auto" w:fill="FFFFFF"/>
        </w:rPr>
        <w:t xml:space="preserve"> G. Compression of amplified chirped optical pulses[J]. Optics Communications, 1985, 55(6):447–449. DOI:10.1016/0030-4018(85)90120-8.</w:t>
      </w:r>
    </w:p>
    <w:p w14:paraId="1D116156">
      <w:pPr>
        <w:numPr>
          <w:ilvl w:val="0"/>
          <w:numId w:val="3"/>
        </w:numPr>
        <w:spacing w:line="300" w:lineRule="exact"/>
        <w:jc w:val="left"/>
        <w:rPr>
          <w:sz w:val="15"/>
          <w:szCs w:val="15"/>
          <w:shd w:val="clear" w:color="auto" w:fill="FFFFFF"/>
        </w:rPr>
      </w:pPr>
      <w:bookmarkStart w:id="4" w:name="_Ref101958704"/>
      <w:r>
        <w:rPr>
          <w:sz w:val="15"/>
          <w:szCs w:val="15"/>
          <w:shd w:val="clear" w:color="auto" w:fill="FFFFFF"/>
        </w:rPr>
        <w:t>T</w:t>
      </w:r>
      <w:r>
        <w:rPr>
          <w:rFonts w:hint="eastAsia"/>
          <w:sz w:val="15"/>
          <w:szCs w:val="15"/>
          <w:shd w:val="clear" w:color="auto" w:fill="FFFFFF"/>
          <w:lang w:val="en-US" w:eastAsia="zh-CN"/>
        </w:rPr>
        <w:t>ajima</w:t>
      </w:r>
      <w:r>
        <w:rPr>
          <w:sz w:val="15"/>
          <w:szCs w:val="15"/>
          <w:shd w:val="clear" w:color="auto" w:fill="FFFFFF"/>
        </w:rPr>
        <w:t xml:space="preserve"> T, D</w:t>
      </w:r>
      <w:r>
        <w:rPr>
          <w:rFonts w:hint="eastAsia"/>
          <w:sz w:val="15"/>
          <w:szCs w:val="15"/>
          <w:shd w:val="clear" w:color="auto" w:fill="FFFFFF"/>
          <w:lang w:val="en-US" w:eastAsia="zh-CN"/>
        </w:rPr>
        <w:t>awson</w:t>
      </w:r>
      <w:r>
        <w:rPr>
          <w:sz w:val="15"/>
          <w:szCs w:val="15"/>
          <w:shd w:val="clear" w:color="auto" w:fill="FFFFFF"/>
        </w:rPr>
        <w:t xml:space="preserve"> J M. Laser Electron Accelerator[J].</w:t>
      </w:r>
      <w:r>
        <w:rPr>
          <w:i/>
          <w:iCs/>
          <w:sz w:val="15"/>
          <w:szCs w:val="15"/>
          <w:shd w:val="clear" w:color="auto" w:fill="FFFFFF"/>
        </w:rPr>
        <w:t xml:space="preserve"> Phys Rev Lett,</w:t>
      </w:r>
      <w:r>
        <w:rPr>
          <w:sz w:val="15"/>
          <w:szCs w:val="15"/>
          <w:shd w:val="clear" w:color="auto" w:fill="FFFFFF"/>
        </w:rPr>
        <w:t xml:space="preserve"> 1979, 43 (4): 267–270</w:t>
      </w:r>
      <w:bookmarkEnd w:id="4"/>
      <w:r>
        <w:rPr>
          <w:sz w:val="15"/>
          <w:szCs w:val="15"/>
          <w:shd w:val="clear" w:color="auto" w:fill="FFFFFF"/>
        </w:rPr>
        <w:t>.</w:t>
      </w:r>
      <w:r>
        <w:rPr>
          <w:sz w:val="15"/>
          <w:szCs w:val="15"/>
        </w:rPr>
        <w:t xml:space="preserve"> </w:t>
      </w:r>
      <w:r>
        <w:rPr>
          <w:sz w:val="15"/>
          <w:szCs w:val="15"/>
          <w:shd w:val="clear" w:color="auto" w:fill="FFFFFF"/>
        </w:rPr>
        <w:t>DOI:10.1103/PhysRevLett.43.267.</w:t>
      </w:r>
    </w:p>
    <w:bookmarkEnd w:id="3"/>
    <w:p w14:paraId="3ECFEDB8">
      <w:pPr>
        <w:numPr>
          <w:ilvl w:val="0"/>
          <w:numId w:val="3"/>
        </w:numPr>
        <w:spacing w:line="300" w:lineRule="exact"/>
        <w:jc w:val="left"/>
        <w:rPr>
          <w:sz w:val="15"/>
          <w:szCs w:val="15"/>
          <w:shd w:val="clear" w:color="auto" w:fill="FFFFFF"/>
        </w:rPr>
      </w:pPr>
      <w:bookmarkStart w:id="5" w:name="_Ref101958776"/>
      <w:bookmarkStart w:id="6" w:name="_Ref101858402"/>
      <w:r>
        <w:rPr>
          <w:sz w:val="16"/>
          <w:szCs w:val="16"/>
          <w:shd w:val="clear" w:color="auto" w:fill="FFFFFF"/>
        </w:rPr>
        <w:t>J</w:t>
      </w:r>
      <w:r>
        <w:rPr>
          <w:rFonts w:hint="eastAsia"/>
          <w:sz w:val="16"/>
          <w:szCs w:val="16"/>
          <w:shd w:val="clear" w:color="auto" w:fill="FFFFFF"/>
          <w:lang w:val="en-US" w:eastAsia="zh-CN"/>
        </w:rPr>
        <w:t>oshi</w:t>
      </w:r>
      <w:r>
        <w:rPr>
          <w:sz w:val="15"/>
          <w:szCs w:val="15"/>
          <w:shd w:val="clear" w:color="auto" w:fill="FFFFFF"/>
        </w:rPr>
        <w:t xml:space="preserve"> C. Plasma Accelerators[J]. </w:t>
      </w:r>
      <w:r>
        <w:rPr>
          <w:i/>
          <w:iCs/>
          <w:sz w:val="15"/>
          <w:szCs w:val="15"/>
          <w:shd w:val="clear" w:color="auto" w:fill="FFFFFF"/>
        </w:rPr>
        <w:t>Scientific American</w:t>
      </w:r>
      <w:r>
        <w:rPr>
          <w:sz w:val="15"/>
          <w:szCs w:val="15"/>
          <w:shd w:val="clear" w:color="auto" w:fill="FFFFFF"/>
        </w:rPr>
        <w:t>, 2006(294):40–47.</w:t>
      </w:r>
      <w:bookmarkEnd w:id="5"/>
      <w:r>
        <w:rPr>
          <w:sz w:val="15"/>
          <w:szCs w:val="15"/>
          <w:shd w:val="clear" w:color="auto" w:fill="FFFFFF"/>
        </w:rPr>
        <w:t xml:space="preserve"> DOI:10.1063/1.35293.</w:t>
      </w:r>
    </w:p>
    <w:bookmarkEnd w:id="6"/>
    <w:p w14:paraId="49DF7EA4">
      <w:pPr>
        <w:numPr>
          <w:ilvl w:val="0"/>
          <w:numId w:val="3"/>
        </w:numPr>
        <w:spacing w:line="300" w:lineRule="exact"/>
        <w:jc w:val="left"/>
        <w:rPr>
          <w:sz w:val="15"/>
          <w:szCs w:val="15"/>
          <w:shd w:val="clear" w:color="auto" w:fill="FFFFFF"/>
        </w:rPr>
      </w:pPr>
      <w:bookmarkStart w:id="7" w:name="_Ref101958806"/>
      <w:bookmarkStart w:id="8" w:name="_Ref101858405"/>
      <w:r>
        <w:rPr>
          <w:sz w:val="15"/>
          <w:szCs w:val="15"/>
          <w:shd w:val="clear" w:color="auto" w:fill="FFFFFF"/>
        </w:rPr>
        <w:t>M</w:t>
      </w:r>
      <w:r>
        <w:rPr>
          <w:rFonts w:hint="eastAsia"/>
          <w:sz w:val="15"/>
          <w:szCs w:val="15"/>
          <w:shd w:val="clear" w:color="auto" w:fill="FFFFFF"/>
          <w:lang w:val="en-US" w:eastAsia="zh-CN"/>
        </w:rPr>
        <w:t>angles</w:t>
      </w:r>
      <w:r>
        <w:rPr>
          <w:sz w:val="15"/>
          <w:szCs w:val="15"/>
          <w:shd w:val="clear" w:color="auto" w:fill="FFFFFF"/>
        </w:rPr>
        <w:t xml:space="preserve"> S P D, </w:t>
      </w:r>
      <w:r>
        <w:rPr>
          <w:rFonts w:hint="eastAsia"/>
          <w:sz w:val="15"/>
          <w:szCs w:val="15"/>
          <w:shd w:val="clear" w:color="auto" w:fill="FFFFFF"/>
        </w:rPr>
        <w:t>H</w:t>
      </w:r>
      <w:r>
        <w:rPr>
          <w:rFonts w:hint="eastAsia"/>
          <w:sz w:val="15"/>
          <w:szCs w:val="15"/>
          <w:shd w:val="clear" w:color="auto" w:fill="FFFFFF"/>
          <w:lang w:val="en-US" w:eastAsia="zh-CN"/>
        </w:rPr>
        <w:t>oth</w:t>
      </w:r>
      <w:r>
        <w:rPr>
          <w:rFonts w:hint="eastAsia"/>
          <w:sz w:val="15"/>
          <w:szCs w:val="15"/>
          <w:shd w:val="clear" w:color="auto" w:fill="FFFFFF"/>
        </w:rPr>
        <w:t xml:space="preserve"> S W, </w:t>
      </w:r>
      <w:r>
        <w:rPr>
          <w:sz w:val="15"/>
          <w:szCs w:val="15"/>
          <w:shd w:val="clear" w:color="auto" w:fill="FFFFFF"/>
        </w:rPr>
        <w:t>M</w:t>
      </w:r>
      <w:r>
        <w:rPr>
          <w:rFonts w:hint="eastAsia"/>
          <w:sz w:val="15"/>
          <w:szCs w:val="15"/>
          <w:shd w:val="clear" w:color="auto" w:fill="FFFFFF"/>
          <w:lang w:val="en-US" w:eastAsia="zh-CN"/>
        </w:rPr>
        <w:t>urphy</w:t>
      </w:r>
      <w:r>
        <w:rPr>
          <w:sz w:val="15"/>
          <w:szCs w:val="15"/>
          <w:shd w:val="clear" w:color="auto" w:fill="FFFFFF"/>
        </w:rPr>
        <w:t xml:space="preserve"> C D. Monoenergetic beams of relativistic electrons from intense laser–plasma interactions.[J]. </w:t>
      </w:r>
      <w:r>
        <w:rPr>
          <w:i/>
          <w:iCs/>
          <w:sz w:val="15"/>
          <w:szCs w:val="15"/>
          <w:shd w:val="clear" w:color="auto" w:fill="FFFFFF"/>
        </w:rPr>
        <w:t>Nature</w:t>
      </w:r>
      <w:r>
        <w:rPr>
          <w:sz w:val="15"/>
          <w:szCs w:val="15"/>
          <w:shd w:val="clear" w:color="auto" w:fill="FFFFFF"/>
        </w:rPr>
        <w:t>, 2004(431):535–538.</w:t>
      </w:r>
      <w:bookmarkEnd w:id="7"/>
      <w:r>
        <w:rPr>
          <w:sz w:val="15"/>
          <w:szCs w:val="15"/>
          <w:shd w:val="clear" w:color="auto" w:fill="FFFFFF"/>
        </w:rPr>
        <w:t xml:space="preserve"> DOI:10.1038/nature02939.</w:t>
      </w:r>
    </w:p>
    <w:bookmarkEnd w:id="8"/>
    <w:p w14:paraId="1E0A2868">
      <w:pPr>
        <w:numPr>
          <w:ilvl w:val="0"/>
          <w:numId w:val="3"/>
        </w:numPr>
        <w:spacing w:line="300" w:lineRule="exact"/>
        <w:jc w:val="left"/>
        <w:rPr>
          <w:sz w:val="15"/>
          <w:szCs w:val="15"/>
          <w:shd w:val="clear" w:color="auto" w:fill="FFFFFF"/>
        </w:rPr>
      </w:pPr>
      <w:bookmarkStart w:id="9" w:name="_Ref101958808"/>
      <w:bookmarkStart w:id="10" w:name="_Ref101858407"/>
      <w:r>
        <w:rPr>
          <w:sz w:val="15"/>
          <w:szCs w:val="15"/>
          <w:shd w:val="clear" w:color="auto" w:fill="FFFFFF"/>
        </w:rPr>
        <w:t>G</w:t>
      </w:r>
      <w:r>
        <w:rPr>
          <w:rFonts w:hint="eastAsia"/>
          <w:sz w:val="15"/>
          <w:szCs w:val="15"/>
          <w:shd w:val="clear" w:color="auto" w:fill="FFFFFF"/>
          <w:lang w:val="en-US" w:eastAsia="zh-CN"/>
        </w:rPr>
        <w:t>eddes</w:t>
      </w:r>
      <w:r>
        <w:rPr>
          <w:sz w:val="15"/>
          <w:szCs w:val="15"/>
          <w:shd w:val="clear" w:color="auto" w:fill="FFFFFF"/>
        </w:rPr>
        <w:t xml:space="preserve"> C G R</w:t>
      </w:r>
      <w:r>
        <w:rPr>
          <w:rFonts w:hint="eastAsia"/>
          <w:sz w:val="15"/>
          <w:szCs w:val="15"/>
          <w:shd w:val="clear" w:color="auto" w:fill="FFFFFF"/>
        </w:rPr>
        <w:t>,</w:t>
      </w:r>
      <w:r>
        <w:rPr>
          <w:sz w:val="15"/>
          <w:szCs w:val="15"/>
          <w:shd w:val="clear" w:color="auto" w:fill="FFFFFF"/>
        </w:rPr>
        <w:t xml:space="preserve"> T</w:t>
      </w:r>
      <w:r>
        <w:rPr>
          <w:rFonts w:hint="eastAsia"/>
          <w:sz w:val="15"/>
          <w:szCs w:val="15"/>
          <w:shd w:val="clear" w:color="auto" w:fill="FFFFFF"/>
          <w:lang w:val="en-US" w:eastAsia="zh-CN"/>
        </w:rPr>
        <w:t>oth</w:t>
      </w:r>
      <w:r>
        <w:rPr>
          <w:sz w:val="15"/>
          <w:szCs w:val="15"/>
          <w:shd w:val="clear" w:color="auto" w:fill="FFFFFF"/>
        </w:rPr>
        <w:t xml:space="preserve"> C,</w:t>
      </w:r>
      <w:r>
        <w:rPr>
          <w:rFonts w:hint="eastAsia"/>
          <w:sz w:val="15"/>
          <w:szCs w:val="15"/>
          <w:shd w:val="clear" w:color="auto" w:fill="FFFFFF"/>
        </w:rPr>
        <w:t xml:space="preserve"> L</w:t>
      </w:r>
      <w:r>
        <w:rPr>
          <w:rFonts w:hint="eastAsia"/>
          <w:sz w:val="15"/>
          <w:szCs w:val="15"/>
          <w:shd w:val="clear" w:color="auto" w:fill="FFFFFF"/>
          <w:lang w:val="en-US" w:eastAsia="zh-CN"/>
        </w:rPr>
        <w:t>ufe</w:t>
      </w:r>
      <w:r>
        <w:rPr>
          <w:rFonts w:hint="eastAsia"/>
          <w:sz w:val="15"/>
          <w:szCs w:val="15"/>
          <w:shd w:val="clear" w:color="auto" w:fill="FFFFFF"/>
        </w:rPr>
        <w:t xml:space="preserve"> K,</w:t>
      </w:r>
      <w:r>
        <w:rPr>
          <w:sz w:val="15"/>
          <w:szCs w:val="15"/>
          <w:shd w:val="clear" w:color="auto" w:fill="FFFFFF"/>
        </w:rPr>
        <w:t xml:space="preserve"> et al. High-quality electron beams from a laser wakefield accelerator using plasma-channel guiding[J]. </w:t>
      </w:r>
      <w:r>
        <w:rPr>
          <w:i/>
          <w:iCs/>
          <w:sz w:val="15"/>
          <w:szCs w:val="15"/>
          <w:shd w:val="clear" w:color="auto" w:fill="FFFFFF"/>
        </w:rPr>
        <w:t>Nature</w:t>
      </w:r>
      <w:r>
        <w:rPr>
          <w:sz w:val="15"/>
          <w:szCs w:val="15"/>
          <w:shd w:val="clear" w:color="auto" w:fill="FFFFFF"/>
        </w:rPr>
        <w:t>, 2004(431):538–541.</w:t>
      </w:r>
      <w:bookmarkEnd w:id="9"/>
      <w:r>
        <w:rPr>
          <w:sz w:val="15"/>
          <w:szCs w:val="15"/>
          <w:shd w:val="clear" w:color="auto" w:fill="FFFFFF"/>
        </w:rPr>
        <w:t xml:space="preserve"> DOI:10.1038/nature02900.</w:t>
      </w:r>
    </w:p>
    <w:p w14:paraId="06BCD48F">
      <w:pPr>
        <w:spacing w:line="300" w:lineRule="exact"/>
        <w:rPr>
          <w:sz w:val="15"/>
          <w:szCs w:val="15"/>
          <w:shd w:val="clear" w:color="auto" w:fill="FFFFFF"/>
        </w:rPr>
      </w:pPr>
    </w:p>
    <w:p w14:paraId="15331CF6">
      <w:pPr>
        <w:spacing w:line="300" w:lineRule="exact"/>
        <w:jc w:val="center"/>
        <w:rPr>
          <w:rFonts w:ascii="宋体" w:hAnsi="宋体"/>
          <w:b/>
          <w:bCs/>
          <w:sz w:val="20"/>
          <w:szCs w:val="20"/>
        </w:rPr>
      </w:pPr>
      <w:r>
        <w:rPr>
          <w:rFonts w:hint="eastAsia" w:ascii="宋体" w:hAnsi="宋体"/>
          <w:b/>
          <w:bCs/>
          <w:sz w:val="20"/>
          <w:szCs w:val="20"/>
        </w:rPr>
        <w:t>作者简介</w:t>
      </w:r>
    </w:p>
    <w:p w14:paraId="64EAC6E2">
      <w:pPr>
        <w:spacing w:line="300" w:lineRule="exact"/>
        <w:ind w:left="178" w:leftChars="85" w:right="420" w:rightChars="200" w:firstLine="180" w:firstLineChars="100"/>
        <w:rPr>
          <w:rFonts w:ascii="宋体" w:hAnsi="宋体"/>
          <w:sz w:val="18"/>
          <w:szCs w:val="18"/>
        </w:rPr>
      </w:pPr>
      <w:r>
        <w:rPr>
          <w:rFonts w:hint="eastAsia" w:ascii="宋体" w:hAnsi="宋体"/>
          <w:sz w:val="18"/>
          <w:szCs w:val="18"/>
        </w:rPr>
        <w:t>为了进一步增强《新兴科学和技术趋势》的学术交流功能，需要较为完善的作者个人信息：</w:t>
      </w:r>
    </w:p>
    <w:p w14:paraId="1DDCAAD0">
      <w:pPr>
        <w:spacing w:line="300" w:lineRule="exact"/>
        <w:ind w:left="178" w:leftChars="85" w:right="420" w:rightChars="200" w:firstLine="180" w:firstLineChars="100"/>
        <w:rPr>
          <w:rFonts w:ascii="宋体" w:hAnsi="宋体"/>
          <w:sz w:val="18"/>
          <w:szCs w:val="18"/>
        </w:rPr>
      </w:pPr>
      <w:r>
        <w:rPr>
          <w:rFonts w:hint="eastAsia" w:ascii="宋体" w:hAnsi="宋体"/>
          <w:sz w:val="18"/>
          <w:szCs w:val="18"/>
        </w:rPr>
        <w:t>（1）有多位作者的文章，请确定需要介绍的作者。</w:t>
      </w:r>
    </w:p>
    <w:p w14:paraId="3591B7D1">
      <w:pPr>
        <w:spacing w:line="300" w:lineRule="exact"/>
        <w:ind w:left="178" w:leftChars="85" w:right="420" w:rightChars="200" w:firstLine="180" w:firstLineChars="100"/>
        <w:rPr>
          <w:rFonts w:ascii="宋体" w:hAnsi="宋体"/>
          <w:sz w:val="18"/>
          <w:szCs w:val="18"/>
        </w:rPr>
      </w:pPr>
      <w:r>
        <w:rPr>
          <w:rFonts w:hint="eastAsia" w:ascii="宋体" w:hAnsi="宋体"/>
          <w:sz w:val="18"/>
          <w:szCs w:val="18"/>
        </w:rPr>
        <w:t>（2）确定人选的个人信息（200</w:t>
      </w:r>
      <w:r>
        <w:rPr>
          <w:rFonts w:hint="eastAsia" w:ascii="宋体" w:hAnsi="宋体"/>
          <w:sz w:val="18"/>
          <w:szCs w:val="18"/>
          <w:lang w:eastAsia="zh-CN"/>
        </w:rPr>
        <w:t>—</w:t>
      </w:r>
      <w:r>
        <w:rPr>
          <w:rFonts w:hint="eastAsia" w:ascii="宋体" w:hAnsi="宋体"/>
          <w:sz w:val="18"/>
          <w:szCs w:val="18"/>
        </w:rPr>
        <w:t>300字），包括：姓名，性别，职称</w:t>
      </w:r>
      <w:r>
        <w:rPr>
          <w:rFonts w:hint="eastAsia" w:ascii="宋体" w:hAnsi="宋体"/>
          <w:sz w:val="18"/>
          <w:szCs w:val="18"/>
          <w:lang w:eastAsia="zh-CN"/>
        </w:rPr>
        <w:t>，</w:t>
      </w:r>
      <w:r>
        <w:rPr>
          <w:rFonts w:hint="eastAsia" w:ascii="宋体" w:hAnsi="宋体"/>
          <w:sz w:val="18"/>
          <w:szCs w:val="18"/>
        </w:rPr>
        <w:t>学历背景</w:t>
      </w:r>
      <w:r>
        <w:rPr>
          <w:rFonts w:hint="eastAsia" w:ascii="宋体" w:hAnsi="宋体"/>
          <w:sz w:val="18"/>
          <w:szCs w:val="18"/>
          <w:lang w:eastAsia="zh-CN"/>
        </w:rPr>
        <w:t>，</w:t>
      </w:r>
      <w:r>
        <w:rPr>
          <w:rFonts w:hint="eastAsia" w:ascii="宋体" w:hAnsi="宋体"/>
          <w:sz w:val="18"/>
          <w:szCs w:val="18"/>
        </w:rPr>
        <w:t>学术身份及称号</w:t>
      </w:r>
      <w:r>
        <w:rPr>
          <w:rFonts w:hint="eastAsia" w:ascii="宋体" w:hAnsi="宋体"/>
          <w:sz w:val="18"/>
          <w:szCs w:val="18"/>
          <w:lang w:eastAsia="zh-CN"/>
        </w:rPr>
        <w:t>，</w:t>
      </w:r>
      <w:r>
        <w:rPr>
          <w:rFonts w:hint="eastAsia" w:ascii="宋体" w:hAnsi="宋体"/>
          <w:sz w:val="18"/>
          <w:szCs w:val="18"/>
        </w:rPr>
        <w:t>主要研究方向</w:t>
      </w:r>
      <w:r>
        <w:rPr>
          <w:rFonts w:hint="eastAsia" w:ascii="宋体" w:hAnsi="宋体"/>
          <w:sz w:val="18"/>
          <w:szCs w:val="18"/>
          <w:lang w:eastAsia="zh-CN"/>
        </w:rPr>
        <w:t>，</w:t>
      </w:r>
      <w:r>
        <w:rPr>
          <w:rFonts w:hint="eastAsia" w:ascii="宋体" w:hAnsi="宋体"/>
          <w:sz w:val="18"/>
          <w:szCs w:val="18"/>
        </w:rPr>
        <w:t>主持的基金项目</w:t>
      </w:r>
      <w:r>
        <w:rPr>
          <w:rFonts w:hint="eastAsia" w:ascii="宋体" w:hAnsi="宋体"/>
          <w:sz w:val="18"/>
          <w:szCs w:val="18"/>
          <w:lang w:eastAsia="zh-CN"/>
        </w:rPr>
        <w:t>，</w:t>
      </w:r>
      <w:r>
        <w:rPr>
          <w:rFonts w:hint="eastAsia" w:ascii="宋体" w:hAnsi="宋体"/>
          <w:sz w:val="18"/>
          <w:szCs w:val="18"/>
        </w:rPr>
        <w:t>主要成就及荣誉</w:t>
      </w:r>
      <w:r>
        <w:rPr>
          <w:rFonts w:hint="eastAsia" w:ascii="宋体" w:hAnsi="宋体"/>
          <w:sz w:val="18"/>
          <w:szCs w:val="18"/>
          <w:lang w:eastAsia="zh-CN"/>
        </w:rPr>
        <w:t>，</w:t>
      </w:r>
      <w:r>
        <w:rPr>
          <w:rFonts w:hint="eastAsia" w:ascii="宋体" w:hAnsi="宋体"/>
          <w:sz w:val="18"/>
          <w:szCs w:val="18"/>
        </w:rPr>
        <w:t>邮箱。</w:t>
      </w:r>
    </w:p>
    <w:p w14:paraId="3245A6FE">
      <w:pPr>
        <w:spacing w:line="300" w:lineRule="exact"/>
        <w:ind w:right="420" w:rightChars="200" w:firstLine="361" w:firstLineChars="200"/>
        <w:jc w:val="left"/>
        <w:rPr>
          <w:rFonts w:ascii="宋体" w:hAnsi="宋体"/>
          <w:sz w:val="18"/>
          <w:szCs w:val="18"/>
        </w:rPr>
      </w:pPr>
      <w:r>
        <w:rPr>
          <w:rFonts w:hint="eastAsia" w:ascii="宋体" w:hAnsi="宋体"/>
          <w:b/>
          <w:bCs/>
          <w:sz w:val="18"/>
          <w:szCs w:val="18"/>
        </w:rPr>
        <w:t>示范</w:t>
      </w:r>
      <w:r>
        <w:rPr>
          <w:rFonts w:hint="eastAsia" w:ascii="宋体" w:hAnsi="宋体"/>
          <w:sz w:val="18"/>
          <w:szCs w:val="18"/>
        </w:rPr>
        <w:t>（仅供参考）：XXX，男，教授</w:t>
      </w:r>
      <w:r>
        <w:rPr>
          <w:rFonts w:hint="eastAsia" w:ascii="宋体" w:hAnsi="宋体"/>
          <w:sz w:val="18"/>
          <w:szCs w:val="18"/>
          <w:lang w:val="en-US" w:eastAsia="zh-CN"/>
        </w:rPr>
        <w:t>,</w:t>
      </w:r>
      <w:r>
        <w:rPr>
          <w:rFonts w:hint="eastAsia" w:ascii="宋体" w:hAnsi="宋体"/>
          <w:sz w:val="18"/>
          <w:szCs w:val="18"/>
        </w:rPr>
        <w:t>博士，博士生导师</w:t>
      </w:r>
      <w:r>
        <w:rPr>
          <w:rFonts w:hint="eastAsia" w:ascii="宋体" w:hAnsi="宋体"/>
          <w:sz w:val="18"/>
          <w:szCs w:val="18"/>
          <w:lang w:eastAsia="zh-CN"/>
        </w:rPr>
        <w:t>。</w:t>
      </w:r>
      <w:r>
        <w:rPr>
          <w:rFonts w:hint="eastAsia" w:ascii="宋体" w:hAnsi="宋体"/>
          <w:sz w:val="18"/>
          <w:szCs w:val="18"/>
        </w:rPr>
        <w:t>国家杰出青年科学基金获得者，教育部“长江学者”特聘教授</w:t>
      </w:r>
      <w:r>
        <w:rPr>
          <w:rFonts w:hint="eastAsia" w:ascii="宋体" w:hAnsi="宋体"/>
          <w:sz w:val="18"/>
          <w:szCs w:val="18"/>
          <w:lang w:eastAsia="zh-CN"/>
        </w:rPr>
        <w:t>。</w:t>
      </w:r>
      <w:r>
        <w:rPr>
          <w:rFonts w:hint="eastAsia" w:ascii="宋体" w:hAnsi="宋体"/>
          <w:sz w:val="18"/>
          <w:szCs w:val="18"/>
        </w:rPr>
        <w:t>担任中国物理学会理事，中国物理学会量子光学专业委员会主任，山西省物理学会理事长，教育部科学技术委员会数理学部委员，Frontiers of Physics, Journal of Optics等学术期刊编委</w:t>
      </w:r>
      <w:r>
        <w:rPr>
          <w:rFonts w:hint="eastAsia" w:ascii="宋体" w:hAnsi="宋体"/>
          <w:sz w:val="18"/>
          <w:szCs w:val="18"/>
          <w:lang w:eastAsia="zh-CN"/>
        </w:rPr>
        <w:t>。</w:t>
      </w:r>
      <w:r>
        <w:rPr>
          <w:rFonts w:hint="eastAsia" w:ascii="宋体" w:hAnsi="宋体"/>
          <w:sz w:val="18"/>
          <w:szCs w:val="18"/>
        </w:rPr>
        <w:t>目前主要从事量子光学与冷原子物理方面的实验与理论研究工作</w:t>
      </w:r>
      <w:r>
        <w:rPr>
          <w:rFonts w:hint="eastAsia" w:ascii="宋体" w:hAnsi="宋体"/>
          <w:sz w:val="18"/>
          <w:szCs w:val="18"/>
          <w:lang w:eastAsia="zh-CN"/>
        </w:rPr>
        <w:t>，</w:t>
      </w:r>
      <w:r>
        <w:rPr>
          <w:rFonts w:hint="eastAsia" w:ascii="宋体" w:hAnsi="宋体"/>
          <w:sz w:val="18"/>
          <w:szCs w:val="18"/>
        </w:rPr>
        <w:t>主持完成国家和省部级项目30余项，包括国家重大科学研究计划课题、国家基金重点项目、仪器专项等</w:t>
      </w:r>
      <w:r>
        <w:rPr>
          <w:rFonts w:hint="eastAsia" w:ascii="宋体" w:hAnsi="宋体"/>
          <w:sz w:val="18"/>
          <w:szCs w:val="18"/>
          <w:lang w:eastAsia="zh-CN"/>
        </w:rPr>
        <w:t>，</w:t>
      </w:r>
      <w:r>
        <w:rPr>
          <w:rFonts w:hint="eastAsia" w:ascii="宋体" w:hAnsi="宋体"/>
          <w:sz w:val="18"/>
          <w:szCs w:val="18"/>
        </w:rPr>
        <w:t>在</w:t>
      </w:r>
      <w:r>
        <w:rPr>
          <w:rFonts w:hint="eastAsia" w:ascii="宋体" w:hAnsi="宋体"/>
          <w:i/>
          <w:iCs/>
          <w:sz w:val="18"/>
          <w:szCs w:val="18"/>
        </w:rPr>
        <w:t>Phys</w:t>
      </w:r>
      <w:r>
        <w:rPr>
          <w:rFonts w:hint="eastAsia" w:ascii="宋体" w:hAnsi="宋体"/>
          <w:i/>
          <w:iCs/>
          <w:sz w:val="18"/>
          <w:szCs w:val="18"/>
          <w:lang w:val="en-US" w:eastAsia="zh-CN"/>
        </w:rPr>
        <w:t>.</w:t>
      </w:r>
      <w:r>
        <w:rPr>
          <w:rFonts w:hint="eastAsia" w:ascii="宋体" w:hAnsi="宋体"/>
          <w:i/>
          <w:iCs/>
          <w:sz w:val="18"/>
          <w:szCs w:val="18"/>
        </w:rPr>
        <w:t xml:space="preserve"> Rev</w:t>
      </w:r>
      <w:r>
        <w:rPr>
          <w:rFonts w:hint="eastAsia" w:ascii="宋体" w:hAnsi="宋体"/>
          <w:i/>
          <w:iCs/>
          <w:sz w:val="18"/>
          <w:szCs w:val="18"/>
          <w:lang w:val="en-US" w:eastAsia="zh-CN"/>
        </w:rPr>
        <w:t>.</w:t>
      </w:r>
      <w:r>
        <w:rPr>
          <w:rFonts w:hint="eastAsia" w:ascii="宋体" w:hAnsi="宋体"/>
          <w:i/>
          <w:iCs/>
          <w:sz w:val="18"/>
          <w:szCs w:val="18"/>
        </w:rPr>
        <w:t xml:space="preserve"> Lett</w:t>
      </w:r>
      <w:r>
        <w:rPr>
          <w:rFonts w:hint="eastAsia" w:ascii="宋体" w:hAnsi="宋体"/>
          <w:i/>
          <w:iCs/>
          <w:sz w:val="18"/>
          <w:szCs w:val="18"/>
          <w:lang w:val="en-US" w:eastAsia="zh-CN"/>
        </w:rPr>
        <w:t>.</w:t>
      </w:r>
      <w:r>
        <w:rPr>
          <w:rFonts w:hint="eastAsia" w:ascii="宋体" w:hAnsi="宋体"/>
          <w:i/>
          <w:iCs/>
          <w:sz w:val="18"/>
          <w:szCs w:val="18"/>
        </w:rPr>
        <w:t>, Phys</w:t>
      </w:r>
      <w:r>
        <w:rPr>
          <w:rFonts w:hint="eastAsia" w:ascii="宋体" w:hAnsi="宋体"/>
          <w:i/>
          <w:iCs/>
          <w:sz w:val="18"/>
          <w:szCs w:val="18"/>
          <w:lang w:val="en-US" w:eastAsia="zh-CN"/>
        </w:rPr>
        <w:t>.</w:t>
      </w:r>
      <w:r>
        <w:rPr>
          <w:rFonts w:hint="eastAsia" w:ascii="宋体" w:hAnsi="宋体"/>
          <w:i/>
          <w:iCs/>
          <w:sz w:val="18"/>
          <w:szCs w:val="18"/>
        </w:rPr>
        <w:t xml:space="preserve"> Rev</w:t>
      </w:r>
      <w:r>
        <w:rPr>
          <w:rFonts w:hint="eastAsia" w:ascii="宋体" w:hAnsi="宋体"/>
          <w:i/>
          <w:iCs/>
          <w:sz w:val="18"/>
          <w:szCs w:val="18"/>
          <w:lang w:val="en-US" w:eastAsia="zh-CN"/>
        </w:rPr>
        <w:t>.</w:t>
      </w:r>
      <w:r>
        <w:rPr>
          <w:rFonts w:hint="eastAsia" w:ascii="宋体" w:hAnsi="宋体"/>
          <w:i/>
          <w:iCs/>
          <w:sz w:val="18"/>
          <w:szCs w:val="18"/>
        </w:rPr>
        <w:t xml:space="preserve"> A, Appl</w:t>
      </w:r>
      <w:r>
        <w:rPr>
          <w:rFonts w:hint="eastAsia" w:ascii="宋体" w:hAnsi="宋体"/>
          <w:i/>
          <w:iCs/>
          <w:sz w:val="18"/>
          <w:szCs w:val="18"/>
          <w:lang w:val="en-US" w:eastAsia="zh-CN"/>
        </w:rPr>
        <w:t>.</w:t>
      </w:r>
      <w:r>
        <w:rPr>
          <w:rFonts w:hint="eastAsia" w:ascii="宋体" w:hAnsi="宋体"/>
          <w:i/>
          <w:iCs/>
          <w:sz w:val="18"/>
          <w:szCs w:val="18"/>
        </w:rPr>
        <w:t xml:space="preserve"> Phys</w:t>
      </w:r>
      <w:r>
        <w:rPr>
          <w:rFonts w:hint="eastAsia" w:ascii="宋体" w:hAnsi="宋体"/>
          <w:i/>
          <w:iCs/>
          <w:sz w:val="18"/>
          <w:szCs w:val="18"/>
          <w:lang w:val="en-US" w:eastAsia="zh-CN"/>
        </w:rPr>
        <w:t>.</w:t>
      </w:r>
      <w:r>
        <w:rPr>
          <w:rFonts w:hint="eastAsia" w:ascii="宋体" w:hAnsi="宋体"/>
          <w:i/>
          <w:iCs/>
          <w:sz w:val="18"/>
          <w:szCs w:val="18"/>
        </w:rPr>
        <w:t xml:space="preserve"> Lett</w:t>
      </w:r>
      <w:r>
        <w:rPr>
          <w:rFonts w:hint="eastAsia" w:ascii="宋体" w:hAnsi="宋体"/>
          <w:i/>
          <w:iCs/>
          <w:sz w:val="18"/>
          <w:szCs w:val="18"/>
          <w:lang w:val="en-US" w:eastAsia="zh-CN"/>
        </w:rPr>
        <w:t>.</w:t>
      </w:r>
      <w:r>
        <w:rPr>
          <w:rFonts w:hint="eastAsia" w:ascii="宋体" w:hAnsi="宋体"/>
          <w:i/>
          <w:iCs/>
          <w:sz w:val="18"/>
          <w:szCs w:val="18"/>
        </w:rPr>
        <w:t>，Opt</w:t>
      </w:r>
      <w:r>
        <w:rPr>
          <w:rFonts w:hint="eastAsia" w:ascii="宋体" w:hAnsi="宋体"/>
          <w:i/>
          <w:iCs/>
          <w:sz w:val="18"/>
          <w:szCs w:val="18"/>
          <w:lang w:val="en-US" w:eastAsia="zh-CN"/>
        </w:rPr>
        <w:t>.</w:t>
      </w:r>
      <w:r>
        <w:rPr>
          <w:rFonts w:hint="eastAsia" w:ascii="宋体" w:hAnsi="宋体"/>
          <w:i/>
          <w:iCs/>
          <w:sz w:val="18"/>
          <w:szCs w:val="18"/>
        </w:rPr>
        <w:t xml:space="preserve"> Lett</w:t>
      </w:r>
      <w:r>
        <w:rPr>
          <w:rFonts w:hint="eastAsia" w:ascii="宋体" w:hAnsi="宋体"/>
          <w:i/>
          <w:iCs/>
          <w:sz w:val="18"/>
          <w:szCs w:val="18"/>
          <w:lang w:val="en-US" w:eastAsia="zh-CN"/>
        </w:rPr>
        <w:t>.</w:t>
      </w:r>
      <w:r>
        <w:rPr>
          <w:rFonts w:hint="eastAsia" w:ascii="宋体" w:hAnsi="宋体"/>
          <w:sz w:val="18"/>
          <w:szCs w:val="18"/>
        </w:rPr>
        <w:t>等期刊发表论文200余篇(其中SCI收录140余篇)，获得国家发明专利9项，参与出版著作3部；曾获“新世纪百千万人才工程国家级人选”。Email:</w:t>
      </w:r>
      <w:r>
        <w:rPr>
          <w:rFonts w:ascii="宋体" w:hAnsi="宋体"/>
          <w:sz w:val="18"/>
          <w:szCs w:val="18"/>
        </w:rPr>
        <w:t>xxx</w:t>
      </w:r>
      <w:r>
        <w:rPr>
          <w:rFonts w:hint="eastAsia" w:ascii="宋体" w:hAnsi="宋体"/>
          <w:sz w:val="18"/>
          <w:szCs w:val="18"/>
        </w:rPr>
        <w:t>@</w:t>
      </w:r>
      <w:r>
        <w:rPr>
          <w:rFonts w:ascii="宋体" w:hAnsi="宋体"/>
          <w:sz w:val="18"/>
          <w:szCs w:val="18"/>
        </w:rPr>
        <w:t>xxx</w:t>
      </w:r>
    </w:p>
    <w:p w14:paraId="69438E09">
      <w:pPr>
        <w:numPr>
          <w:ilvl w:val="0"/>
          <w:numId w:val="4"/>
        </w:numPr>
        <w:spacing w:line="300" w:lineRule="exact"/>
        <w:jc w:val="left"/>
        <w:rPr>
          <w:rFonts w:hint="eastAsia" w:ascii="宋体" w:hAnsi="宋体"/>
          <w:sz w:val="18"/>
          <w:szCs w:val="18"/>
        </w:rPr>
      </w:pPr>
      <w:r>
        <w:rPr>
          <w:rFonts w:hint="eastAsia" w:ascii="宋体" w:hAnsi="宋体"/>
          <w:sz w:val="18"/>
          <w:szCs w:val="18"/>
        </w:rPr>
        <w:t>个人一寸近照或称心照片。</w:t>
      </w:r>
    </w:p>
    <w:p w14:paraId="5A72B757">
      <w:pPr>
        <w:widowControl w:val="0"/>
        <w:numPr>
          <w:numId w:val="0"/>
        </w:numPr>
        <w:spacing w:line="300" w:lineRule="exact"/>
        <w:jc w:val="left"/>
        <w:rPr>
          <w:rFonts w:hint="eastAsia" w:ascii="宋体" w:hAnsi="宋体"/>
          <w:sz w:val="18"/>
          <w:szCs w:val="18"/>
        </w:rPr>
      </w:pPr>
    </w:p>
    <w:p w14:paraId="4DBFCEF4">
      <w:pPr>
        <w:widowControl w:val="0"/>
        <w:numPr>
          <w:numId w:val="0"/>
        </w:numPr>
        <w:spacing w:line="300" w:lineRule="exact"/>
        <w:jc w:val="left"/>
        <w:rPr>
          <w:rFonts w:hint="eastAsia" w:ascii="宋体" w:hAnsi="宋体"/>
          <w:sz w:val="18"/>
          <w:szCs w:val="18"/>
        </w:rPr>
      </w:pPr>
    </w:p>
    <w:p w14:paraId="445A93CB">
      <w:pPr>
        <w:widowControl w:val="0"/>
        <w:numPr>
          <w:numId w:val="0"/>
        </w:numPr>
        <w:spacing w:line="300" w:lineRule="exact"/>
        <w:jc w:val="left"/>
        <w:rPr>
          <w:rFonts w:hint="eastAsia" w:ascii="宋体" w:hAnsi="宋体"/>
          <w:sz w:val="18"/>
          <w:szCs w:val="18"/>
        </w:rPr>
      </w:pPr>
    </w:p>
    <w:p w14:paraId="5C8C92AB">
      <w:pPr>
        <w:numPr>
          <w:numId w:val="0"/>
        </w:numPr>
        <w:spacing w:line="300" w:lineRule="exact"/>
        <w:jc w:val="left"/>
        <w:rPr>
          <w:rFonts w:hint="eastAsia" w:ascii="宋体" w:hAnsi="宋体" w:eastAsia="宋体"/>
          <w:sz w:val="18"/>
          <w:szCs w:val="18"/>
          <w:lang w:val="en-US" w:eastAsia="zh-CN"/>
        </w:rPr>
      </w:pPr>
    </w:p>
    <w:p w14:paraId="5FACD6D2">
      <w:pPr>
        <w:spacing w:line="300" w:lineRule="exact"/>
        <w:jc w:val="center"/>
        <w:rPr>
          <w:rFonts w:eastAsia="黑体"/>
          <w:b/>
          <w:bCs/>
          <w:color w:val="000000" w:themeColor="text1"/>
          <w:sz w:val="18"/>
          <w:szCs w:val="18"/>
          <w14:textFill>
            <w14:solidFill>
              <w14:schemeClr w14:val="tx1"/>
            </w14:solidFill>
          </w14:textFill>
        </w:rPr>
      </w:pPr>
      <w:r>
        <w:rPr>
          <w:rFonts w:hint="eastAsia" w:eastAsia="黑体"/>
          <w:b/>
          <w:bCs/>
          <w:color w:val="000000" w:themeColor="text1"/>
          <w:sz w:val="30"/>
          <w:szCs w:val="30"/>
          <w14:textFill>
            <w14:solidFill>
              <w14:schemeClr w14:val="tx1"/>
            </w14:solidFill>
          </w14:textFill>
        </w:rPr>
        <w:t>参考文献著录及格式详细说明</w:t>
      </w:r>
    </w:p>
    <w:bookmarkEnd w:id="10"/>
    <w:p w14:paraId="04BA112E">
      <w:pPr>
        <w:autoSpaceDE w:val="0"/>
        <w:autoSpaceDN w:val="0"/>
        <w:adjustRightInd w:val="0"/>
        <w:ind w:firstLine="127140" w:firstLineChars="200"/>
        <w:rPr>
          <w:rFonts w:ascii="黑体" w:eastAsia="黑体" w:cs="宋体"/>
          <w:kern w:val="0"/>
          <w:sz w:val="18"/>
          <w:szCs w:val="18"/>
          <w:lang w:val="zh-CN"/>
        </w:rPr>
      </w:pPr>
      <w:r>
        <w:rPr>
          <w:rStyle w:val="20"/>
          <w:rFonts w:hint="eastAsia" w:ascii="黑体" w:hAnsi="宋体" w:eastAsia="黑体"/>
          <w:sz w:val="21"/>
        </w:rPr>
        <w:t xml:space="preserve">  </w:t>
      </w:r>
    </w:p>
    <w:p w14:paraId="7131D1D9">
      <w:pPr>
        <w:autoSpaceDE w:val="0"/>
        <w:autoSpaceDN w:val="0"/>
        <w:adjustRightInd w:val="0"/>
        <w:ind w:firstLine="360"/>
        <w:rPr>
          <w:rFonts w:hint="default" w:ascii="Times New Roman" w:hAnsi="Times New Roman" w:eastAsia="宋体" w:cs="Times New Roman"/>
          <w:color w:val="000000"/>
          <w:sz w:val="15"/>
          <w:szCs w:val="15"/>
          <w:lang w:val="en-US" w:eastAsia="zh-CN"/>
        </w:rPr>
      </w:pPr>
      <w:r>
        <w:rPr>
          <w:rFonts w:hint="default" w:ascii="Times New Roman" w:hAnsi="Times New Roman" w:eastAsia="宋体" w:cs="Times New Roman"/>
          <w:kern w:val="0"/>
          <w:sz w:val="15"/>
          <w:szCs w:val="15"/>
        </w:rPr>
        <w:t>1.文献类型</w:t>
      </w:r>
      <w:r>
        <w:rPr>
          <w:rFonts w:hint="default" w:ascii="Times New Roman" w:hAnsi="Times New Roman" w:eastAsia="宋体" w:cs="Times New Roman"/>
          <w:kern w:val="0"/>
          <w:sz w:val="15"/>
          <w:szCs w:val="15"/>
          <w:lang w:val="en-US" w:eastAsia="zh-CN"/>
        </w:rPr>
        <w:t>和文献载体标识代码</w:t>
      </w:r>
    </w:p>
    <w:p w14:paraId="1F4C5E41">
      <w:pPr>
        <w:autoSpaceDE w:val="0"/>
        <w:autoSpaceDN w:val="0"/>
        <w:adjustRightInd w:val="0"/>
        <w:ind w:left="149" w:leftChars="71" w:firstLine="150" w:firstLineChars="100"/>
        <w:rPr>
          <w:rFonts w:hint="default" w:ascii="Times New Roman" w:hAnsi="Times New Roman" w:eastAsia="宋体" w:cs="Times New Roman"/>
          <w:color w:val="000000"/>
          <w:sz w:val="15"/>
          <w:szCs w:val="15"/>
        </w:rPr>
      </w:pPr>
      <w:r>
        <w:rPr>
          <w:rFonts w:hint="default" w:ascii="Times New Roman" w:hAnsi="Times New Roman" w:eastAsia="宋体" w:cs="Times New Roman"/>
          <w:color w:val="000000"/>
          <w:sz w:val="15"/>
          <w:szCs w:val="15"/>
          <w:lang w:eastAsia="zh-Hans"/>
        </w:rPr>
        <w:t>文献类型</w:t>
      </w:r>
      <w:r>
        <w:rPr>
          <w:rFonts w:hint="default" w:ascii="Times New Roman" w:hAnsi="Times New Roman" w:eastAsia="宋体" w:cs="Times New Roman"/>
          <w:color w:val="000000"/>
          <w:sz w:val="15"/>
          <w:szCs w:val="15"/>
          <w:lang w:val="en-US" w:eastAsia="zh-CN"/>
        </w:rPr>
        <w:t>和</w:t>
      </w:r>
      <w:r>
        <w:rPr>
          <w:rFonts w:hint="default" w:ascii="Times New Roman" w:hAnsi="Times New Roman" w:eastAsia="宋体" w:cs="Times New Roman"/>
          <w:color w:val="000000"/>
          <w:sz w:val="15"/>
          <w:szCs w:val="15"/>
          <w:lang w:eastAsia="zh-Hans"/>
        </w:rPr>
        <w:t>标</w:t>
      </w:r>
      <w:r>
        <w:rPr>
          <w:rFonts w:hint="default" w:ascii="Times New Roman" w:hAnsi="Times New Roman" w:eastAsia="宋体" w:cs="Times New Roman"/>
          <w:color w:val="000000"/>
          <w:sz w:val="15"/>
          <w:szCs w:val="15"/>
          <w:lang w:val="en-US" w:eastAsia="zh-CN"/>
        </w:rPr>
        <w:t>识代码</w:t>
      </w:r>
      <w:r>
        <w:rPr>
          <w:rFonts w:hint="default" w:ascii="Times New Roman" w:hAnsi="Times New Roman" w:eastAsia="宋体" w:cs="Times New Roman"/>
          <w:color w:val="000000"/>
          <w:sz w:val="15"/>
          <w:szCs w:val="15"/>
          <w:lang w:eastAsia="zh-Hans"/>
        </w:rPr>
        <w:t>：图书 M，期刊 J，报纸 N，会议录 C，学位论文 D，报告R，标准 S，</w:t>
      </w:r>
      <w:r>
        <w:rPr>
          <w:rFonts w:hint="default" w:ascii="Times New Roman" w:hAnsi="Times New Roman" w:eastAsia="宋体" w:cs="Times New Roman"/>
          <w:color w:val="auto"/>
          <w:sz w:val="15"/>
          <w:szCs w:val="15"/>
          <w:lang w:eastAsia="zh-Hans"/>
        </w:rPr>
        <w:t>专利 P，</w:t>
      </w:r>
      <w:r>
        <w:rPr>
          <w:rFonts w:hint="default" w:ascii="Times New Roman" w:hAnsi="Times New Roman" w:eastAsia="宋体" w:cs="Times New Roman"/>
          <w:color w:val="auto"/>
          <w:sz w:val="15"/>
          <w:szCs w:val="15"/>
          <w:lang w:val="en-US" w:eastAsia="zh-CN"/>
        </w:rPr>
        <w:t>网站、网页 EB</w:t>
      </w:r>
      <w:r>
        <w:rPr>
          <w:rFonts w:hint="default" w:ascii="Times New Roman" w:hAnsi="Times New Roman" w:eastAsia="宋体" w:cs="Times New Roman"/>
          <w:color w:val="000000"/>
          <w:sz w:val="15"/>
          <w:szCs w:val="15"/>
          <w:lang w:eastAsia="zh-Hans"/>
        </w:rPr>
        <w:t>，</w:t>
      </w:r>
      <w:r>
        <w:rPr>
          <w:rFonts w:hint="default" w:ascii="Times New Roman" w:hAnsi="Times New Roman" w:eastAsia="宋体" w:cs="Times New Roman"/>
          <w:color w:val="auto"/>
          <w:sz w:val="15"/>
          <w:szCs w:val="15"/>
          <w:lang w:val="en-US" w:eastAsia="zh-CN"/>
        </w:rPr>
        <w:t>档案A，地图 CM，</w:t>
      </w:r>
      <w:r>
        <w:rPr>
          <w:rFonts w:hint="default" w:ascii="Times New Roman" w:hAnsi="Times New Roman" w:eastAsia="宋体" w:cs="Times New Roman"/>
          <w:color w:val="000000"/>
          <w:sz w:val="15"/>
          <w:szCs w:val="15"/>
          <w:lang w:eastAsia="zh-Hans"/>
        </w:rPr>
        <w:t>数据</w:t>
      </w:r>
      <w:r>
        <w:rPr>
          <w:rFonts w:hint="default" w:ascii="Times New Roman" w:hAnsi="Times New Roman" w:eastAsia="宋体" w:cs="Times New Roman"/>
          <w:color w:val="000000"/>
          <w:sz w:val="15"/>
          <w:szCs w:val="15"/>
          <w:lang w:val="en-US" w:eastAsia="zh-CN"/>
        </w:rPr>
        <w:t>集</w:t>
      </w:r>
      <w:r>
        <w:rPr>
          <w:rFonts w:hint="default" w:ascii="Times New Roman" w:hAnsi="Times New Roman" w:eastAsia="宋体" w:cs="Times New Roman"/>
          <w:color w:val="000000"/>
          <w:sz w:val="15"/>
          <w:szCs w:val="15"/>
          <w:lang w:eastAsia="zh-Hans"/>
        </w:rPr>
        <w:t xml:space="preserve"> D</w:t>
      </w:r>
      <w:r>
        <w:rPr>
          <w:rFonts w:hint="default" w:ascii="Times New Roman" w:hAnsi="Times New Roman" w:eastAsia="宋体" w:cs="Times New Roman"/>
          <w:color w:val="000000"/>
          <w:sz w:val="15"/>
          <w:szCs w:val="15"/>
          <w:lang w:val="en-US" w:eastAsia="zh-CN"/>
        </w:rPr>
        <w:t>S</w:t>
      </w:r>
      <w:r>
        <w:rPr>
          <w:rFonts w:hint="default" w:ascii="Times New Roman" w:hAnsi="Times New Roman" w:eastAsia="宋体" w:cs="Times New Roman"/>
          <w:color w:val="000000"/>
          <w:sz w:val="15"/>
          <w:szCs w:val="15"/>
          <w:lang w:eastAsia="zh-Hans"/>
        </w:rPr>
        <w:t>，</w:t>
      </w:r>
      <w:r>
        <w:rPr>
          <w:rFonts w:hint="default" w:ascii="Times New Roman" w:hAnsi="Times New Roman" w:eastAsia="宋体" w:cs="Times New Roman"/>
          <w:color w:val="000000"/>
          <w:sz w:val="15"/>
          <w:szCs w:val="15"/>
          <w:lang w:val="en-US" w:eastAsia="zh-CN"/>
        </w:rPr>
        <w:t>预印本 PP，汇编 G，</w:t>
      </w:r>
      <w:r>
        <w:rPr>
          <w:rFonts w:hint="default" w:ascii="Times New Roman" w:hAnsi="Times New Roman" w:eastAsia="宋体" w:cs="Times New Roman"/>
          <w:color w:val="000000"/>
          <w:sz w:val="15"/>
          <w:szCs w:val="15"/>
          <w:lang w:eastAsia="zh-Hans"/>
        </w:rPr>
        <w:t>计算机程序 CP，</w:t>
      </w:r>
      <w:r>
        <w:rPr>
          <w:rFonts w:hint="default" w:ascii="Times New Roman" w:hAnsi="Times New Roman" w:eastAsia="宋体" w:cs="Times New Roman"/>
          <w:color w:val="000000"/>
          <w:sz w:val="15"/>
          <w:szCs w:val="15"/>
          <w:lang w:val="en-US" w:eastAsia="zh-CN"/>
        </w:rPr>
        <w:t>数据库</w:t>
      </w:r>
      <w:r>
        <w:rPr>
          <w:rFonts w:hint="default" w:ascii="Times New Roman" w:hAnsi="Times New Roman" w:eastAsia="宋体" w:cs="Times New Roman"/>
          <w:color w:val="000000"/>
          <w:sz w:val="15"/>
          <w:szCs w:val="15"/>
          <w:lang w:eastAsia="zh-Hans"/>
        </w:rPr>
        <w:t xml:space="preserve"> </w:t>
      </w:r>
      <w:r>
        <w:rPr>
          <w:rFonts w:hint="default" w:ascii="Times New Roman" w:hAnsi="Times New Roman" w:eastAsia="宋体" w:cs="Times New Roman"/>
          <w:color w:val="000000"/>
          <w:sz w:val="15"/>
          <w:szCs w:val="15"/>
          <w:lang w:val="en-US" w:eastAsia="zh-CN"/>
        </w:rPr>
        <w:t>DB，其他 Z</w:t>
      </w:r>
      <w:r>
        <w:rPr>
          <w:rFonts w:hint="default" w:ascii="Times New Roman" w:hAnsi="Times New Roman" w:eastAsia="宋体" w:cs="Times New Roman"/>
          <w:color w:val="000000"/>
          <w:sz w:val="15"/>
          <w:szCs w:val="15"/>
          <w:lang w:eastAsia="zh-Hans"/>
        </w:rPr>
        <w:t>。</w:t>
      </w:r>
    </w:p>
    <w:p w14:paraId="4FC8B728">
      <w:pPr>
        <w:autoSpaceDE w:val="0"/>
        <w:autoSpaceDN w:val="0"/>
        <w:adjustRightInd w:val="0"/>
        <w:ind w:firstLine="300" w:firstLineChars="200"/>
        <w:rPr>
          <w:rFonts w:hint="default" w:ascii="Times New Roman" w:hAnsi="Times New Roman" w:eastAsia="宋体" w:cs="Times New Roman"/>
          <w:color w:val="000000"/>
          <w:sz w:val="15"/>
          <w:szCs w:val="15"/>
        </w:rPr>
      </w:pPr>
      <w:r>
        <w:rPr>
          <w:rFonts w:hint="default" w:ascii="Times New Roman" w:hAnsi="Times New Roman" w:eastAsia="宋体" w:cs="Times New Roman"/>
          <w:color w:val="000000"/>
          <w:sz w:val="15"/>
          <w:szCs w:val="15"/>
          <w:lang w:eastAsia="zh-Hans"/>
        </w:rPr>
        <w:t>电子</w:t>
      </w:r>
      <w:r>
        <w:rPr>
          <w:rFonts w:hint="default" w:ascii="Times New Roman" w:hAnsi="Times New Roman" w:eastAsia="宋体" w:cs="Times New Roman"/>
          <w:color w:val="000000"/>
          <w:sz w:val="15"/>
          <w:szCs w:val="15"/>
          <w:lang w:val="en-US" w:eastAsia="zh-CN"/>
        </w:rPr>
        <w:t>资源</w:t>
      </w:r>
      <w:r>
        <w:rPr>
          <w:rFonts w:hint="default" w:ascii="Times New Roman" w:hAnsi="Times New Roman" w:eastAsia="宋体" w:cs="Times New Roman"/>
          <w:color w:val="000000"/>
          <w:sz w:val="15"/>
          <w:szCs w:val="15"/>
          <w:lang w:eastAsia="zh-Hans"/>
        </w:rPr>
        <w:t>载体</w:t>
      </w:r>
      <w:r>
        <w:rPr>
          <w:rFonts w:hint="default" w:ascii="Times New Roman" w:hAnsi="Times New Roman" w:eastAsia="宋体" w:cs="Times New Roman"/>
          <w:color w:val="000000"/>
          <w:sz w:val="15"/>
          <w:szCs w:val="15"/>
          <w:lang w:val="en-US" w:eastAsia="zh-CN"/>
        </w:rPr>
        <w:t>和标识代码</w:t>
      </w:r>
      <w:r>
        <w:rPr>
          <w:rFonts w:hint="default" w:ascii="Times New Roman" w:hAnsi="Times New Roman" w:eastAsia="宋体" w:cs="Times New Roman"/>
          <w:color w:val="000000"/>
          <w:sz w:val="15"/>
          <w:szCs w:val="15"/>
          <w:lang w:eastAsia="zh-Hans"/>
        </w:rPr>
        <w:t>：磁带 MT，磁盘 DK，光盘 CD，联机网络 OL</w:t>
      </w:r>
      <w:r>
        <w:rPr>
          <w:rFonts w:hint="default" w:ascii="Times New Roman" w:hAnsi="Times New Roman" w:eastAsia="宋体" w:cs="Times New Roman"/>
          <w:color w:val="000000"/>
          <w:sz w:val="15"/>
          <w:szCs w:val="15"/>
          <w:lang w:eastAsia="zh-CN"/>
        </w:rPr>
        <w:t>，</w:t>
      </w:r>
      <w:r>
        <w:rPr>
          <w:rFonts w:hint="default" w:ascii="Times New Roman" w:hAnsi="Times New Roman" w:eastAsia="宋体" w:cs="Times New Roman"/>
          <w:color w:val="000000"/>
          <w:sz w:val="15"/>
          <w:szCs w:val="15"/>
          <w:lang w:val="en-US" w:eastAsia="zh-CN"/>
        </w:rPr>
        <w:t>缩微资料 MM</w:t>
      </w:r>
      <w:r>
        <w:rPr>
          <w:rFonts w:hint="default" w:ascii="Times New Roman" w:hAnsi="Times New Roman" w:eastAsia="宋体" w:cs="Times New Roman"/>
          <w:color w:val="000000"/>
          <w:sz w:val="15"/>
          <w:szCs w:val="15"/>
          <w:lang w:eastAsia="zh-Hans"/>
        </w:rPr>
        <w:t>。</w:t>
      </w:r>
    </w:p>
    <w:p w14:paraId="622767AD">
      <w:pPr>
        <w:autoSpaceDE w:val="0"/>
        <w:autoSpaceDN w:val="0"/>
        <w:adjustRightInd w:val="0"/>
        <w:ind w:firstLine="300" w:firstLineChars="200"/>
        <w:rPr>
          <w:rStyle w:val="20"/>
          <w:rFonts w:hint="default" w:ascii="Times New Roman" w:hAnsi="Times New Roman" w:eastAsia="宋体" w:cs="Times New Roman"/>
          <w:sz w:val="15"/>
          <w:szCs w:val="15"/>
          <w:lang w:eastAsia="zh-Hans"/>
        </w:rPr>
      </w:pPr>
      <w:r>
        <w:rPr>
          <w:rFonts w:hint="default" w:ascii="Times New Roman" w:hAnsi="Times New Roman" w:eastAsia="宋体" w:cs="Times New Roman"/>
          <w:color w:val="000000"/>
          <w:sz w:val="15"/>
          <w:szCs w:val="15"/>
          <w:lang w:eastAsia="zh-Hans"/>
        </w:rPr>
        <w:t>注意：以上标识都列于第一项文献名之后，</w:t>
      </w:r>
      <w:r>
        <w:rPr>
          <w:rFonts w:hint="default" w:ascii="Times New Roman" w:hAnsi="Times New Roman" w:eastAsia="宋体" w:cs="Times New Roman"/>
          <w:b/>
          <w:kern w:val="0"/>
          <w:sz w:val="15"/>
          <w:szCs w:val="15"/>
          <w:em w:val="dot"/>
        </w:rPr>
        <w:t>外加方括号</w:t>
      </w:r>
      <w:r>
        <w:rPr>
          <w:rFonts w:hint="default" w:ascii="Times New Roman" w:hAnsi="Times New Roman" w:eastAsia="宋体" w:cs="Times New Roman"/>
          <w:color w:val="000000"/>
          <w:sz w:val="15"/>
          <w:szCs w:val="15"/>
          <w:lang w:eastAsia="zh-Hans"/>
        </w:rPr>
        <w:t>。</w:t>
      </w:r>
    </w:p>
    <w:p w14:paraId="1CC13224">
      <w:pPr>
        <w:autoSpaceDE w:val="0"/>
        <w:autoSpaceDN w:val="0"/>
        <w:adjustRightInd w:val="0"/>
        <w:ind w:firstLine="300" w:firstLineChars="200"/>
        <w:rPr>
          <w:rFonts w:hint="default" w:ascii="Times New Roman" w:hAnsi="Times New Roman" w:eastAsia="宋体" w:cs="Times New Roman"/>
          <w:b/>
          <w:kern w:val="0"/>
          <w:sz w:val="15"/>
          <w:szCs w:val="15"/>
          <w:em w:val="dot"/>
          <w:lang w:val="en-US" w:eastAsia="zh-CN"/>
        </w:rPr>
      </w:pPr>
      <w:r>
        <w:rPr>
          <w:rFonts w:hint="default" w:ascii="Times New Roman" w:hAnsi="Times New Roman" w:eastAsia="宋体" w:cs="Times New Roman"/>
          <w:kern w:val="0"/>
          <w:sz w:val="15"/>
          <w:szCs w:val="15"/>
        </w:rPr>
        <w:t>2.顺序编码制应按正文中引用的文献出现的先后顺序连续编码，并将序号置于“[]”中。</w:t>
      </w:r>
      <w:r>
        <w:rPr>
          <w:rFonts w:hint="default" w:ascii="Times New Roman" w:hAnsi="Times New Roman" w:eastAsia="宋体" w:cs="Times New Roman"/>
          <w:kern w:val="0"/>
          <w:sz w:val="15"/>
          <w:szCs w:val="15"/>
          <w:lang w:val="zh-CN"/>
        </w:rPr>
        <w:t>同一处引用多篇文献时，应将各篇文献的序号在“[]”内全部列出，各序号间用“,”。如遇连续序号，起讫序号间用短横线连接。多次引用同一责任者的同一文献时，在正文中标注首次引用的文献序号，并在序号的“[]”外著录引文页码。</w:t>
      </w:r>
      <w:r>
        <w:rPr>
          <w:rFonts w:hint="default" w:ascii="Times New Roman" w:hAnsi="Times New Roman" w:eastAsia="宋体" w:cs="Times New Roman"/>
          <w:kern w:val="0"/>
          <w:sz w:val="15"/>
          <w:szCs w:val="15"/>
          <w:lang w:val="en-US" w:eastAsia="zh-CN"/>
        </w:rPr>
        <w:t xml:space="preserve">    </w:t>
      </w:r>
    </w:p>
    <w:p w14:paraId="3AAD3DD6">
      <w:pPr>
        <w:spacing w:after="52" w:line="258" w:lineRule="auto"/>
        <w:ind w:firstLine="300" w:firstLineChars="20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 xml:space="preserve">3.每条参考文献著录项目应齐全，各项目间用下角点（.）分开。 </w:t>
      </w:r>
    </w:p>
    <w:p w14:paraId="2329FB68">
      <w:pPr>
        <w:spacing w:after="52" w:line="258" w:lineRule="auto"/>
        <w:ind w:left="356"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4.</w:t>
      </w:r>
      <w:r>
        <w:rPr>
          <w:rFonts w:hint="default" w:ascii="Times New Roman" w:hAnsi="Times New Roman" w:eastAsia="宋体" w:cs="Times New Roman"/>
          <w:color w:val="000000"/>
          <w:sz w:val="15"/>
          <w:szCs w:val="15"/>
          <w:lang w:eastAsia="zh-Hans"/>
        </w:rPr>
        <w:t>责任者</w:t>
      </w:r>
    </w:p>
    <w:p w14:paraId="3DE9410F">
      <w:pPr>
        <w:spacing w:after="52" w:line="258" w:lineRule="auto"/>
        <w:ind w:firstLine="300" w:firstLineChars="200"/>
        <w:rPr>
          <w:rFonts w:hint="default" w:ascii="Times New Roman" w:hAnsi="Times New Roman" w:eastAsia="宋体" w:cs="Times New Roman"/>
          <w:b w:val="0"/>
          <w:i w:val="0"/>
          <w:strike w:val="0"/>
          <w:dstrike w:val="0"/>
          <w:color w:val="000000"/>
          <w:kern w:val="2"/>
          <w:sz w:val="15"/>
          <w:szCs w:val="15"/>
          <w:u w:val="none" w:color="000000"/>
          <w:shd w:val="clear" w:color="auto" w:fill="auto"/>
          <w:vertAlign w:val="baseline"/>
          <w:lang w:val="en-US" w:eastAsia="zh-CN" w:bidi="ar-SA"/>
        </w:rPr>
      </w:pPr>
      <w:bookmarkStart w:id="11" w:name="_GoBack"/>
      <w:bookmarkEnd w:id="11"/>
      <w:r>
        <w:rPr>
          <w:rFonts w:hint="default" w:ascii="Times New Roman" w:hAnsi="Times New Roman" w:eastAsia="宋体" w:cs="Times New Roman"/>
          <w:b w:val="0"/>
          <w:i w:val="0"/>
          <w:strike w:val="0"/>
          <w:dstrike w:val="0"/>
          <w:color w:val="000000"/>
          <w:kern w:val="2"/>
          <w:sz w:val="15"/>
          <w:szCs w:val="15"/>
          <w:u w:val="none" w:color="000000"/>
          <w:shd w:val="clear" w:color="auto" w:fill="auto"/>
          <w:vertAlign w:val="baseline"/>
          <w:lang w:val="en-US" w:eastAsia="zh-CN" w:bidi="ar-SA"/>
        </w:rPr>
        <w:t>个人责任者应采用姓在前名在后的著录形式。欧美责任者的中译名可只著录其姓，其名可用缩写字母，缩写名后省略缩写点。同姓不同名的欧美责任者，其中译名不仅应著录其姓，还应著录其名的首字母。用西文著录个人责任者，姓应全部著录，首字母应大写，名可缩写为首字母，如用首字母无法识别该人名时，可著录全名;用汉语拼音著录个人责任者，姓应全部著录，首字母应大写，名宜用全称。著作方式相同的责任者不超过3个时，应全部照录。超过3个时，可著录前3个责任者，其后加“，等”或</w:t>
      </w:r>
      <w:r>
        <w:rPr>
          <w:rFonts w:hint="default" w:ascii="Times New Roman" w:hAnsi="Times New Roman" w:eastAsia="宋体" w:cs="Times New Roman"/>
          <w:b w:val="0"/>
          <w:i w:val="0"/>
          <w:strike w:val="0"/>
          <w:dstrike w:val="0"/>
          <w:color w:val="000000"/>
          <w:kern w:val="2"/>
          <w:sz w:val="15"/>
          <w:szCs w:val="15"/>
          <w:u w:val="none" w:color="000000"/>
          <w:shd w:val="clear" w:color="auto" w:fill="auto"/>
          <w:vertAlign w:val="baseline"/>
          <w:lang w:val="en-US" w:eastAsia="zh-CN" w:bidi="ar-SA"/>
        </w:rPr>
        <w:t>“，et al”</w:t>
      </w:r>
      <w:r>
        <w:rPr>
          <w:rFonts w:hint="default" w:ascii="Times New Roman" w:hAnsi="Times New Roman" w:eastAsia="宋体" w:cs="Times New Roman"/>
          <w:b w:val="0"/>
          <w:i w:val="0"/>
          <w:strike w:val="0"/>
          <w:dstrike w:val="0"/>
          <w:color w:val="000000"/>
          <w:kern w:val="2"/>
          <w:sz w:val="15"/>
          <w:szCs w:val="15"/>
          <w:u w:val="none" w:color="000000"/>
          <w:shd w:val="clear" w:color="auto" w:fill="auto"/>
          <w:vertAlign w:val="baseline"/>
          <w:lang w:val="en-US" w:eastAsia="zh-CN" w:bidi="ar-SA"/>
        </w:rPr>
        <w:t>。</w:t>
      </w:r>
    </w:p>
    <w:p w14:paraId="1E7C9E62">
      <w:pPr>
        <w:spacing w:after="52" w:line="258" w:lineRule="auto"/>
        <w:ind w:left="356"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lang w:val="en-US" w:eastAsia="zh-CN"/>
        </w:rPr>
        <w:t>5</w:t>
      </w:r>
      <w:r>
        <w:rPr>
          <w:rFonts w:hint="default" w:ascii="Times New Roman" w:hAnsi="Times New Roman" w:eastAsia="宋体" w:cs="Times New Roman"/>
          <w:sz w:val="15"/>
          <w:szCs w:val="15"/>
        </w:rPr>
        <w:t>.参考文献</w:t>
      </w:r>
      <w:r>
        <w:rPr>
          <w:rFonts w:hint="default" w:ascii="Times New Roman" w:hAnsi="Times New Roman" w:eastAsia="宋体" w:cs="Times New Roman"/>
          <w:sz w:val="15"/>
          <w:szCs w:val="15"/>
          <w:lang w:val="en-US" w:eastAsia="zh-CN"/>
        </w:rPr>
        <w:t>著录</w:t>
      </w:r>
      <w:r>
        <w:rPr>
          <w:rFonts w:hint="default" w:ascii="Times New Roman" w:hAnsi="Times New Roman" w:eastAsia="宋体" w:cs="Times New Roman"/>
          <w:sz w:val="15"/>
          <w:szCs w:val="15"/>
        </w:rPr>
        <w:t xml:space="preserve">格式 </w:t>
      </w:r>
    </w:p>
    <w:p w14:paraId="2DD4E6E6">
      <w:pPr>
        <w:spacing w:after="52" w:line="258" w:lineRule="auto"/>
        <w:ind w:firstLine="36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（1）</w:t>
      </w:r>
      <w:r>
        <w:rPr>
          <w:rFonts w:hint="default" w:cs="Times New Roman"/>
          <w:b/>
          <w:bCs/>
          <w:sz w:val="15"/>
          <w:szCs w:val="15"/>
          <w:lang w:val="en-US" w:eastAsia="zh-CN"/>
        </w:rPr>
        <w:t>图书</w:t>
      </w:r>
      <w:r>
        <w:rPr>
          <w:rFonts w:hint="default" w:ascii="Times New Roman" w:hAnsi="Times New Roman" w:eastAsia="宋体" w:cs="Times New Roman"/>
          <w:sz w:val="15"/>
          <w:szCs w:val="15"/>
        </w:rPr>
        <w:t xml:space="preserve">应按以下格式著录：主要责任者. 题名：其他题名信 息[文献类型标识/文献载体标识].其他责任者. 版本.出版地：出版者，出版年 ：引文页码. 获取和访问路径. 永久标识符. </w:t>
      </w:r>
    </w:p>
    <w:p w14:paraId="2D56C0A8">
      <w:pPr>
        <w:spacing w:after="52" w:line="258" w:lineRule="auto"/>
        <w:rPr>
          <w:rFonts w:hint="default" w:ascii="Times New Roman" w:hAnsi="Times New Roman" w:eastAsia="宋体" w:cs="Times New Roman"/>
          <w:sz w:val="15"/>
          <w:szCs w:val="15"/>
          <w:lang w:val="en-US" w:eastAsia="zh-CN"/>
        </w:rPr>
      </w:pPr>
      <w:r>
        <w:rPr>
          <w:rFonts w:hint="default" w:ascii="Times New Roman" w:hAnsi="Times New Roman" w:eastAsia="宋体" w:cs="Times New Roman"/>
          <w:sz w:val="15"/>
          <w:szCs w:val="15"/>
          <w:lang w:val="en-US" w:eastAsia="zh-CN"/>
        </w:rPr>
        <w:t>示例：</w:t>
      </w:r>
    </w:p>
    <w:p w14:paraId="6E5115AC">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[1] 张伯伟.全唐五代诗格汇考[M].南京：江苏古籍出版社，2002:288.</w:t>
      </w:r>
    </w:p>
    <w:p w14:paraId="3C3EEA0C">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 王夫之.宋论[M].刻本.金陵：湘乡曾国基，1865 (清同治四年).</w:t>
      </w:r>
    </w:p>
    <w:p w14:paraId="2478F014">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[3] 顾炎武.昌平山水记；京东考古录[M].北京：北京古籍出版社，1980.</w:t>
      </w:r>
    </w:p>
    <w:p w14:paraId="491CAEFC">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[4] 康熙宇典：</w:t>
      </w:r>
      <w:r>
        <w:rPr>
          <w:rFonts w:hint="default" w:ascii="Times New Roman" w:hAnsi="Times New Roman" w:eastAsia="宋体" w:cs="Times New Roman"/>
          <w:sz w:val="15"/>
          <w:szCs w:val="15"/>
          <w:lang w:val="en-US" w:eastAsia="zh-CN"/>
        </w:rPr>
        <w:t>巳</w:t>
      </w:r>
      <w:r>
        <w:rPr>
          <w:rFonts w:hint="default" w:ascii="Times New Roman" w:hAnsi="Times New Roman" w:eastAsia="宋体" w:cs="Times New Roman"/>
          <w:sz w:val="15"/>
          <w:szCs w:val="15"/>
        </w:rPr>
        <w:t>集上水部[M].影印本.北京：中华书局，1962:50.</w:t>
      </w:r>
    </w:p>
    <w:p w14:paraId="01C2CA6C">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[5] 扬奎斯特，萨金特.递归宏观经济理论[M].杨斌，王忠玉，陈彦斌，等，译.2版.北京：中国人民大学出版社，2010:798.</w:t>
      </w:r>
    </w:p>
    <w:p w14:paraId="4954A9A2">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[6] Peebles P Z Jr.</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Probability,random variables,and random signal principles[M]. 4th ed. New York</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rPr>
        <w:t>M</w:t>
      </w:r>
      <w:r>
        <w:rPr>
          <w:rFonts w:hint="default" w:ascii="Times New Roman" w:hAnsi="Times New Roman" w:eastAsia="宋体" w:cs="Times New Roman"/>
          <w:sz w:val="15"/>
          <w:szCs w:val="15"/>
          <w:lang w:val="en-US" w:eastAsia="zh-CN"/>
        </w:rPr>
        <w:t>c</w:t>
      </w:r>
      <w:r>
        <w:rPr>
          <w:rFonts w:hint="default" w:ascii="Times New Roman" w:hAnsi="Times New Roman" w:eastAsia="宋体" w:cs="Times New Roman"/>
          <w:sz w:val="15"/>
          <w:szCs w:val="15"/>
        </w:rPr>
        <w:t>Graw-Hill,2001.</w:t>
      </w:r>
    </w:p>
    <w:p w14:paraId="17111C23">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[7] Praetzellis</w:t>
      </w:r>
      <w:r>
        <w:rPr>
          <w:rFonts w:hint="eastAsia" w:cs="Times New Roman"/>
          <w:sz w:val="15"/>
          <w:szCs w:val="15"/>
          <w:lang w:val="en-US" w:eastAsia="zh-CN"/>
        </w:rPr>
        <w:t xml:space="preserve"> </w:t>
      </w:r>
      <w:r>
        <w:rPr>
          <w:rFonts w:hint="default" w:ascii="Times New Roman" w:hAnsi="Times New Roman" w:eastAsia="宋体" w:cs="Times New Roman"/>
          <w:sz w:val="15"/>
          <w:szCs w:val="15"/>
        </w:rPr>
        <w:t>A. Death by theory</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rPr>
        <w:t>a tale ofmystery andarchacological theory[M/OL].Rev.ed.[S</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rPr>
        <w:t>l.]:Rowman &amp;Littletield</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Publishing</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Group,Inc.,2011:13.http://lib.myilibrary.com/Open.aspx?id=293666.</w:t>
      </w:r>
    </w:p>
    <w:p w14:paraId="711E722A">
      <w:pPr>
        <w:spacing w:after="61"/>
        <w:ind w:left="-5" w:hanging="10"/>
        <w:rPr>
          <w:rFonts w:hint="default" w:ascii="Times New Roman" w:hAnsi="Times New Roman" w:eastAsia="宋体" w:cs="Times New Roman"/>
          <w:sz w:val="15"/>
          <w:szCs w:val="15"/>
        </w:rPr>
      </w:pPr>
      <w:r>
        <w:rPr>
          <w:rFonts w:hint="default" w:ascii="Times New Roman" w:hAnsi="Times New Roman" w:eastAsia="宋体" w:cs="Times New Roman"/>
          <w:sz w:val="15"/>
          <w:szCs w:val="15"/>
        </w:rPr>
        <w:t>[8] Abadia O</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M, Conkey</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M W,</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M</w:t>
      </w:r>
      <w:r>
        <w:rPr>
          <w:rFonts w:hint="default" w:ascii="Times New Roman" w:hAnsi="Times New Roman" w:eastAsia="宋体" w:cs="Times New Roman"/>
          <w:sz w:val="15"/>
          <w:szCs w:val="15"/>
          <w:lang w:val="en-US" w:eastAsia="zh-CN"/>
        </w:rPr>
        <w:t>c</w:t>
      </w:r>
      <w:r>
        <w:rPr>
          <w:rFonts w:hint="default" w:ascii="Times New Roman" w:hAnsi="Times New Roman" w:eastAsia="宋体" w:cs="Times New Roman"/>
          <w:sz w:val="15"/>
          <w:szCs w:val="15"/>
        </w:rPr>
        <w:t>Donald</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J. Deep</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rPr>
        <w:t>time images in the age of globalization</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rPr>
        <w:t>rock art</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rPr>
        <w:t>in the 21 stcentury[M/OL]. Springer Cham,2024.https://doi.org/10.1007/978-3-031-54638-9.</w:t>
      </w:r>
    </w:p>
    <w:p w14:paraId="32EF300C">
      <w:pPr>
        <w:spacing w:after="61"/>
        <w:ind w:left="132" w:leftChars="63" w:firstLine="294" w:firstLineChars="195"/>
        <w:rPr>
          <w:rFonts w:hint="default" w:ascii="Times New Roman" w:hAnsi="Times New Roman" w:eastAsia="宋体" w:cs="Times New Roman"/>
          <w:sz w:val="15"/>
          <w:szCs w:val="15"/>
          <w:lang w:val="de-DE"/>
        </w:rPr>
      </w:pPr>
      <w:r>
        <w:rPr>
          <w:rFonts w:hint="default" w:cs="Times New Roman"/>
          <w:b/>
          <w:bCs/>
          <w:sz w:val="15"/>
          <w:szCs w:val="15"/>
          <w:lang w:val="de-DE" w:eastAsia="zh-CN"/>
        </w:rPr>
        <w:t>图书中的析出文献</w:t>
      </w:r>
      <w:r>
        <w:rPr>
          <w:rFonts w:hint="default" w:ascii="Times New Roman" w:hAnsi="Times New Roman" w:eastAsia="宋体" w:cs="Times New Roman"/>
          <w:sz w:val="15"/>
          <w:szCs w:val="15"/>
          <w:lang w:val="de-DE"/>
        </w:rPr>
        <w:t>应按以下格式著录：析出文献主要责任者.析出文献题名：析出文献其他题名信息[文献类型标识/文献载体标识].析出文献其他责任者//图书主要责任者，图书题名：其他题名信息.版本.出版地：出版者，出版年：析出文献页码.获取和访问路径.永久标识符.</w:t>
      </w:r>
    </w:p>
    <w:p w14:paraId="1C86E7C0">
      <w:pPr>
        <w:spacing w:after="61"/>
        <w:ind w:left="-5" w:hanging="10"/>
        <w:rPr>
          <w:rFonts w:hint="default" w:ascii="Times New Roman" w:hAnsi="Times New Roman" w:eastAsia="宋体" w:cs="Times New Roman"/>
          <w:sz w:val="15"/>
          <w:szCs w:val="15"/>
          <w:lang w:val="de-DE"/>
        </w:rPr>
      </w:pPr>
      <w:r>
        <w:rPr>
          <w:rFonts w:hint="default" w:ascii="Times New Roman" w:hAnsi="Times New Roman" w:eastAsia="宋体" w:cs="Times New Roman"/>
          <w:sz w:val="15"/>
          <w:szCs w:val="15"/>
          <w:lang w:val="de-DE"/>
        </w:rPr>
        <w:t>示例：</w:t>
      </w:r>
    </w:p>
    <w:p w14:paraId="61C7D362">
      <w:pPr>
        <w:numPr>
          <w:numId w:val="0"/>
        </w:numPr>
        <w:spacing w:after="61"/>
        <w:ind w:left="-15" w:leftChars="0"/>
        <w:rPr>
          <w:rFonts w:hint="default" w:ascii="Times New Roman" w:hAnsi="Times New Roman" w:eastAsia="宋体" w:cs="Times New Roman"/>
          <w:sz w:val="15"/>
          <w:szCs w:val="15"/>
          <w:lang w:val="de-DE"/>
        </w:rPr>
      </w:pPr>
      <w:r>
        <w:rPr>
          <w:rFonts w:hint="eastAsia" w:cs="Times New Roman"/>
          <w:sz w:val="15"/>
          <w:szCs w:val="15"/>
          <w:lang w:val="en-US" w:eastAsia="zh-CN"/>
        </w:rPr>
        <w:t xml:space="preserve">[1] </w:t>
      </w:r>
      <w:r>
        <w:rPr>
          <w:rFonts w:hint="default" w:ascii="Times New Roman" w:hAnsi="Times New Roman" w:eastAsia="宋体" w:cs="Times New Roman"/>
          <w:sz w:val="15"/>
          <w:szCs w:val="15"/>
          <w:lang w:val="de-DE"/>
        </w:rPr>
        <w:t>阿扬.谈谈记忆：与诺贝尔获奖得者埃里克·坎德尔的问答[M].姜海伦，译</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lang w:val="de-DE"/>
        </w:rPr>
        <w:t>/《环球科学》杂志社.认识记忆力：关于学习、思考与遗忘的脑科学.北京：机械工业出版社，2023:15-18.</w:t>
      </w:r>
    </w:p>
    <w:p w14:paraId="2EA2430A">
      <w:pPr>
        <w:numPr>
          <w:numId w:val="0"/>
        </w:numPr>
        <w:spacing w:after="61"/>
        <w:ind w:left="-15" w:leftChars="0"/>
        <w:rPr>
          <w:rFonts w:hint="default" w:ascii="Times New Roman" w:hAnsi="Times New Roman" w:eastAsia="宋体" w:cs="Times New Roman"/>
          <w:sz w:val="15"/>
          <w:szCs w:val="15"/>
          <w:lang w:val="de-DE"/>
        </w:rPr>
      </w:pPr>
      <w:r>
        <w:rPr>
          <w:rFonts w:hint="eastAsia" w:cs="Times New Roman"/>
          <w:sz w:val="15"/>
          <w:szCs w:val="15"/>
          <w:lang w:val="en-US" w:eastAsia="zh-CN"/>
        </w:rPr>
        <w:t xml:space="preserve">[2] </w:t>
      </w:r>
      <w:r>
        <w:rPr>
          <w:rFonts w:hint="default" w:ascii="Times New Roman" w:hAnsi="Times New Roman" w:eastAsia="宋体" w:cs="Times New Roman"/>
          <w:sz w:val="15"/>
          <w:szCs w:val="15"/>
          <w:lang w:val="de-DE"/>
        </w:rPr>
        <w:t>周易外传：卷5[M]/</w:t>
      </w:r>
      <w:r>
        <w:rPr>
          <w:rFonts w:hint="default" w:ascii="Times New Roman" w:hAnsi="Times New Roman" w:eastAsia="宋体" w:cs="Times New Roman"/>
          <w:sz w:val="15"/>
          <w:szCs w:val="15"/>
          <w:lang w:val="en-US" w:eastAsia="zh-CN"/>
        </w:rPr>
        <w:t>/</w:t>
      </w:r>
      <w:r>
        <w:rPr>
          <w:rFonts w:hint="default" w:ascii="Times New Roman" w:hAnsi="Times New Roman" w:eastAsia="宋体" w:cs="Times New Roman"/>
          <w:sz w:val="15"/>
          <w:szCs w:val="15"/>
          <w:lang w:val="de-DE"/>
        </w:rPr>
        <w:t>王夫之.船山全书：第1册.修订版.长沙：岳麓书社，2011:983-1029.</w:t>
      </w:r>
    </w:p>
    <w:p w14:paraId="6F41A596">
      <w:pPr>
        <w:numPr>
          <w:numId w:val="0"/>
        </w:numPr>
        <w:spacing w:after="61"/>
        <w:ind w:left="-15" w:leftChars="0"/>
        <w:rPr>
          <w:rFonts w:hint="default" w:ascii="Times New Roman" w:hAnsi="Times New Roman" w:eastAsia="宋体" w:cs="Times New Roman"/>
          <w:sz w:val="15"/>
          <w:szCs w:val="15"/>
          <w:lang w:val="de-DE"/>
        </w:rPr>
      </w:pPr>
      <w:r>
        <w:rPr>
          <w:rFonts w:hint="eastAsia" w:cs="Times New Roman"/>
          <w:sz w:val="15"/>
          <w:szCs w:val="15"/>
          <w:lang w:val="en-US" w:eastAsia="zh-CN"/>
        </w:rPr>
        <w:t xml:space="preserve">[3] </w:t>
      </w:r>
      <w:r>
        <w:rPr>
          <w:rFonts w:hint="default" w:ascii="Times New Roman" w:hAnsi="Times New Roman" w:eastAsia="宋体" w:cs="Times New Roman"/>
          <w:sz w:val="15"/>
          <w:szCs w:val="15"/>
          <w:lang w:val="de-DE"/>
        </w:rPr>
        <w:t>马克思.政治经济学批判[M]//马克思，恩格斯.马克思恩格斯全集：第35卷.2版.北京：人民出版社，2013:302.</w:t>
      </w:r>
    </w:p>
    <w:p w14:paraId="072237D1">
      <w:pPr>
        <w:numPr>
          <w:numId w:val="0"/>
        </w:numPr>
        <w:spacing w:after="61"/>
        <w:ind w:left="-15" w:leftChars="0"/>
        <w:rPr>
          <w:rFonts w:hint="default" w:ascii="Times New Roman" w:hAnsi="Times New Roman" w:eastAsia="宋体" w:cs="Times New Roman"/>
          <w:sz w:val="15"/>
          <w:szCs w:val="15"/>
          <w:lang w:val="de-DE"/>
        </w:rPr>
      </w:pPr>
      <w:r>
        <w:rPr>
          <w:rFonts w:hint="eastAsia" w:cs="Times New Roman"/>
          <w:sz w:val="15"/>
          <w:szCs w:val="15"/>
          <w:lang w:val="en-US" w:eastAsia="zh-CN"/>
        </w:rPr>
        <w:t xml:space="preserve">[4] </w:t>
      </w:r>
      <w:r>
        <w:rPr>
          <w:rFonts w:hint="default" w:ascii="Times New Roman" w:hAnsi="Times New Roman" w:eastAsia="宋体" w:cs="Times New Roman"/>
          <w:sz w:val="15"/>
          <w:szCs w:val="15"/>
          <w:lang w:val="de-DE"/>
        </w:rPr>
        <w:t>Weinstein L,Swartz M</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de-DE"/>
        </w:rPr>
        <w:t>N.Pathogenic properties of invading mieroorganisms[M]//Sodeman W</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de-DE"/>
        </w:rPr>
        <w:t>A</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de-DE"/>
        </w:rPr>
        <w:t>Jr,Sode-man</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de-DE"/>
        </w:rPr>
        <w:t>W A.</w:t>
      </w:r>
      <w:r>
        <w:rPr>
          <w:rFonts w:hint="default"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de-DE"/>
        </w:rPr>
        <w:t>Pathologic physiology:mechanisms of disease.5th ed.Philadelphia:Saunders,1974:457-472.</w:t>
      </w:r>
    </w:p>
    <w:p w14:paraId="4DF5C4A7">
      <w:pPr>
        <w:numPr>
          <w:numId w:val="0"/>
        </w:numPr>
        <w:spacing w:after="61"/>
        <w:ind w:left="-15" w:leftChars="0"/>
        <w:jc w:val="left"/>
        <w:rPr>
          <w:rFonts w:hint="default" w:ascii="Times New Roman" w:hAnsi="Times New Roman" w:eastAsia="宋体" w:cs="Times New Roman"/>
          <w:sz w:val="15"/>
          <w:szCs w:val="15"/>
          <w:lang w:val="de-DE"/>
        </w:rPr>
      </w:pPr>
      <w:r>
        <w:rPr>
          <w:rFonts w:hint="eastAsia" w:cs="Times New Roman"/>
          <w:sz w:val="15"/>
          <w:szCs w:val="15"/>
          <w:lang w:val="en-US" w:eastAsia="zh-CN"/>
        </w:rPr>
        <w:t xml:space="preserve">[5] </w:t>
      </w:r>
      <w:r>
        <w:rPr>
          <w:rFonts w:hint="default" w:ascii="Times New Roman" w:hAnsi="Times New Roman" w:eastAsia="宋体" w:cs="Times New Roman"/>
          <w:sz w:val="15"/>
          <w:szCs w:val="15"/>
          <w:lang w:val="de-DE"/>
        </w:rPr>
        <w:t>Roberson</w:t>
      </w:r>
      <w:r>
        <w:rPr>
          <w:rFonts w:hint="eastAsia" w:cs="Times New Roman"/>
          <w:sz w:val="15"/>
          <w:szCs w:val="15"/>
          <w:lang w:val="en-US" w:eastAsia="zh-CN"/>
        </w:rPr>
        <w:t xml:space="preserve"> </w:t>
      </w:r>
      <w:r>
        <w:rPr>
          <w:rFonts w:hint="default" w:ascii="Times New Roman" w:hAnsi="Times New Roman" w:eastAsia="宋体" w:cs="Times New Roman"/>
          <w:sz w:val="15"/>
          <w:szCs w:val="15"/>
          <w:lang w:val="de-DE"/>
        </w:rPr>
        <w:t>J</w:t>
      </w:r>
      <w:r>
        <w:rPr>
          <w:rFonts w:hint="eastAsia" w:cs="Times New Roman"/>
          <w:sz w:val="15"/>
          <w:szCs w:val="15"/>
          <w:lang w:val="en-US" w:eastAsia="zh-CN"/>
        </w:rPr>
        <w:t xml:space="preserve"> </w:t>
      </w:r>
      <w:r>
        <w:rPr>
          <w:rFonts w:hint="default" w:ascii="Times New Roman" w:hAnsi="Times New Roman" w:eastAsia="宋体" w:cs="Times New Roman"/>
          <w:sz w:val="15"/>
          <w:szCs w:val="15"/>
          <w:lang w:val="de-DE"/>
        </w:rPr>
        <w:t>A,Burneson E</w:t>
      </w:r>
      <w:r>
        <w:rPr>
          <w:rFonts w:hint="eastAsia" w:cs="Times New Roman"/>
          <w:sz w:val="15"/>
          <w:szCs w:val="15"/>
          <w:lang w:val="en-US" w:eastAsia="zh-CN"/>
        </w:rPr>
        <w:t xml:space="preserve"> </w:t>
      </w:r>
      <w:r>
        <w:rPr>
          <w:rFonts w:hint="default" w:ascii="Times New Roman" w:hAnsi="Times New Roman" w:eastAsia="宋体" w:cs="Times New Roman"/>
          <w:sz w:val="15"/>
          <w:szCs w:val="15"/>
          <w:lang w:val="de-DE"/>
        </w:rPr>
        <w:t>G.Drinking water quality standards,regulations and goals [M/OL]//AmericanWater Works Association.</w:t>
      </w:r>
    </w:p>
    <w:p w14:paraId="0BBAB6D6">
      <w:pPr>
        <w:numPr>
          <w:numId w:val="0"/>
        </w:numPr>
        <w:spacing w:after="61"/>
        <w:jc w:val="left"/>
        <w:rPr>
          <w:rFonts w:hint="default" w:ascii="Times New Roman" w:hAnsi="Times New Roman" w:eastAsia="宋体" w:cs="Times New Roman"/>
          <w:sz w:val="15"/>
          <w:szCs w:val="15"/>
          <w:lang w:val="de-DE"/>
        </w:rPr>
      </w:pPr>
      <w:r>
        <w:rPr>
          <w:rFonts w:hint="default" w:ascii="Times New Roman" w:hAnsi="Times New Roman" w:eastAsia="宋体" w:cs="Times New Roman"/>
          <w:sz w:val="15"/>
          <w:szCs w:val="15"/>
          <w:lang w:val="de-DE"/>
        </w:rPr>
        <w:t>Water quality &amp;treatment:a handbook on drinking water.6th ed.New York</w:t>
      </w:r>
      <w:r>
        <w:rPr>
          <w:rFonts w:hint="eastAsia" w:cs="Times New Roman"/>
          <w:sz w:val="15"/>
          <w:szCs w:val="15"/>
          <w:lang w:val="en-US" w:eastAsia="zh-CN"/>
        </w:rPr>
        <w:t>:</w:t>
      </w:r>
      <w:r>
        <w:rPr>
          <w:rFonts w:hint="default" w:ascii="Times New Roman" w:hAnsi="Times New Roman" w:eastAsia="宋体" w:cs="Times New Roman"/>
          <w:sz w:val="15"/>
          <w:szCs w:val="15"/>
          <w:lang w:val="de-DE"/>
        </w:rPr>
        <w:t>M</w:t>
      </w:r>
      <w:r>
        <w:rPr>
          <w:rFonts w:hint="eastAsia" w:cs="Times New Roman"/>
          <w:sz w:val="15"/>
          <w:szCs w:val="15"/>
          <w:lang w:val="en-US" w:eastAsia="zh-CN"/>
        </w:rPr>
        <w:t>c</w:t>
      </w:r>
      <w:r>
        <w:rPr>
          <w:rFonts w:hint="default" w:ascii="Times New Roman" w:hAnsi="Times New Roman" w:eastAsia="宋体" w:cs="Times New Roman"/>
          <w:sz w:val="15"/>
          <w:szCs w:val="15"/>
          <w:lang w:val="de-DE"/>
        </w:rPr>
        <w:t>Graw-Hill,2011:1.1-1.36.http://libmyilibrary.com/Open,as</w:t>
      </w:r>
    </w:p>
    <w:p w14:paraId="0A4A246E">
      <w:pPr>
        <w:numPr>
          <w:numId w:val="0"/>
        </w:numPr>
        <w:spacing w:after="61"/>
        <w:jc w:val="left"/>
        <w:rPr>
          <w:rFonts w:hint="default" w:ascii="Times New Roman" w:hAnsi="Times New Roman" w:eastAsia="宋体" w:cs="Times New Roman"/>
          <w:sz w:val="15"/>
          <w:szCs w:val="15"/>
          <w:lang w:val="de-DE"/>
        </w:rPr>
      </w:pPr>
      <w:r>
        <w:rPr>
          <w:rFonts w:hint="default" w:ascii="Times New Roman" w:hAnsi="Times New Roman" w:eastAsia="宋体" w:cs="Times New Roman"/>
          <w:sz w:val="15"/>
          <w:szCs w:val="15"/>
          <w:lang w:val="de-DE"/>
        </w:rPr>
        <w:t>px?id=291430.</w:t>
      </w:r>
    </w:p>
    <w:p w14:paraId="65F1EACF">
      <w:pPr>
        <w:numPr>
          <w:numId w:val="0"/>
        </w:numPr>
        <w:spacing w:after="61"/>
        <w:ind w:firstLine="300" w:firstLineChars="200"/>
        <w:jc w:val="left"/>
        <w:rPr>
          <w:rFonts w:hint="default" w:ascii="Times New Roman" w:hAnsi="Times New Roman" w:eastAsia="宋体" w:cs="Times New Roman"/>
          <w:sz w:val="15"/>
          <w:szCs w:val="15"/>
          <w:lang w:val="de-DE"/>
        </w:rPr>
      </w:pPr>
      <w:r>
        <w:rPr>
          <w:rFonts w:hint="eastAsia" w:cs="Times New Roman"/>
          <w:sz w:val="15"/>
          <w:szCs w:val="15"/>
          <w:lang w:val="en-US" w:eastAsia="zh-CN"/>
        </w:rPr>
        <w:t>（2）</w:t>
      </w:r>
      <w:r>
        <w:rPr>
          <w:rFonts w:hint="eastAsia" w:cs="Times New Roman"/>
          <w:b/>
          <w:bCs/>
          <w:sz w:val="15"/>
          <w:szCs w:val="15"/>
          <w:lang w:val="en-US" w:eastAsia="zh-CN"/>
        </w:rPr>
        <w:t>连续出版物</w:t>
      </w:r>
      <w:r>
        <w:rPr>
          <w:rFonts w:hint="default" w:ascii="Times New Roman" w:hAnsi="Times New Roman" w:eastAsia="宋体" w:cs="Times New Roman"/>
          <w:sz w:val="15"/>
          <w:szCs w:val="15"/>
          <w:lang w:val="de-DE"/>
        </w:rPr>
        <w:t>应按以下格式著录：文献主要责任者.文献题名：文献其他题名信息[文献类型标识/文献载体标识].文献其他责任者.连续出版物题名：其他题名信息，年，卷（期/版次）</w:t>
      </w:r>
      <w:r>
        <w:rPr>
          <w:rFonts w:hint="eastAsia" w:cs="Times New Roman"/>
          <w:sz w:val="15"/>
          <w:szCs w:val="15"/>
          <w:lang w:val="en-US" w:eastAsia="zh-CN"/>
        </w:rPr>
        <w:t>:</w:t>
      </w:r>
      <w:r>
        <w:rPr>
          <w:rFonts w:hint="default" w:ascii="Times New Roman" w:hAnsi="Times New Roman" w:eastAsia="宋体" w:cs="Times New Roman"/>
          <w:sz w:val="15"/>
          <w:szCs w:val="15"/>
          <w:lang w:val="de-DE"/>
        </w:rPr>
        <w:t>页码.获取和访问路径.永久标识符.</w:t>
      </w:r>
    </w:p>
    <w:p w14:paraId="424D015D">
      <w:pPr>
        <w:numPr>
          <w:numId w:val="0"/>
        </w:numPr>
        <w:spacing w:after="61"/>
        <w:jc w:val="left"/>
        <w:rPr>
          <w:rFonts w:hint="eastAsia" w:cs="Times New Roman"/>
          <w:sz w:val="15"/>
          <w:szCs w:val="15"/>
          <w:lang w:val="en-US" w:eastAsia="zh-CN"/>
        </w:rPr>
      </w:pPr>
      <w:r>
        <w:rPr>
          <w:rFonts w:hint="eastAsia" w:cs="Times New Roman"/>
          <w:sz w:val="15"/>
          <w:szCs w:val="15"/>
          <w:lang w:val="en-US" w:eastAsia="zh-CN"/>
        </w:rPr>
        <w:t>示例：</w:t>
      </w:r>
    </w:p>
    <w:p w14:paraId="5F84CEC7">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丁文详.数字革命与竞争国际化[N].中国青年报，2000-11-20(15).</w:t>
      </w:r>
    </w:p>
    <w:p w14:paraId="2F3D51A1">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久保智康.花枝蝶鸟方镜的镜范：以平安后期的铜镜制作工艺为中心[J].顾幼静，译.东方博物，2009(1):85-92.</w:t>
      </w:r>
    </w:p>
    <w:p w14:paraId="53449EAA">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于潇，刘义，柴跃廷，等.互联网药品可信交易环境中主体资质审核备案模式[J].清华大学学报(自然科学版),2012,52(11):1518-1523.</w:t>
      </w:r>
    </w:p>
    <w:p w14:paraId="7EFDF115">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张群，程志宝，石志飞.惯性增强动力吸振器-浮置板轨道低频减振性能研究[J/OL].铁道学报，2024-05-09.https://kns.cnki.net/kcms/detail/11.2104.u.20240507.1737.002.html.</w:t>
      </w:r>
    </w:p>
    <w:p w14:paraId="3B78985A">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[5] 张群，程志宝，石志飞.惯性增强动力吸振器-浮置板轨道低频减振性能研究[J].铁道学报，2024,46(8):102-111.DOI:10.3969/j.</w:t>
      </w:r>
    </w:p>
    <w:p w14:paraId="0A1FDA1C">
      <w:pPr>
        <w:numPr>
          <w:numId w:val="0"/>
        </w:numPr>
        <w:spacing w:after="61"/>
        <w:jc w:val="both"/>
        <w:rPr>
          <w:rFonts w:hint="default" w:cs="Times New Roman"/>
          <w:sz w:val="15"/>
          <w:szCs w:val="15"/>
          <w:lang w:val="en-US" w:eastAsia="zh-CN"/>
        </w:rPr>
      </w:pPr>
      <w:r>
        <w:rPr>
          <w:rFonts w:hint="eastAsia" w:cs="Times New Roman"/>
          <w:sz w:val="15"/>
          <w:szCs w:val="15"/>
          <w:lang w:val="en-US" w:eastAsia="zh-CN"/>
        </w:rPr>
        <w:t>issn.1001-8360.2024.08.012.</w:t>
      </w:r>
    </w:p>
    <w:p w14:paraId="003A47AF">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[6] 徐建委.历史的起点：《史记》中的时间设置及其意义[J/OL].北京大学学报(哲学社会科学版),2025,62(2):117-127.https://ncpssd.org/Literature/articleinfo?id=BJDXXBZXSHKXB2025002012&amp;synUpdateType=&amp;-type=journalArticle&amp;typename=%E4%B8%AD%E6%96%87%E6%9C%9F%E5%88%8A%E6%96%87%E7%AB%AO&amp;nav=1&amp;langType=1&amp;pageUrl=https%253A%252F%252Fncpssd.org%252Fjournal%252Fdetails%253Fgch%253D81274X%2526nav%253D1%2526langType%253D1.</w:t>
      </w:r>
    </w:p>
    <w:p w14:paraId="2ABDE4E0">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[7] 王利平，王福新，刘洪.过冷大水滴环境粒径分布模拟方法研究进展[J].航空学报，2024,45(增刊1):730570.DOI:10.7527/S1000-</w:t>
      </w:r>
    </w:p>
    <w:p w14:paraId="5BFACFE9">
      <w:pPr>
        <w:numPr>
          <w:numId w:val="0"/>
        </w:numPr>
        <w:spacing w:after="61"/>
        <w:jc w:val="both"/>
        <w:rPr>
          <w:rFonts w:hint="default" w:cs="Times New Roman"/>
          <w:sz w:val="15"/>
          <w:szCs w:val="15"/>
          <w:lang w:val="en-US" w:eastAsia="zh-CN"/>
        </w:rPr>
      </w:pPr>
      <w:r>
        <w:rPr>
          <w:rFonts w:hint="eastAsia" w:cs="Times New Roman"/>
          <w:sz w:val="15"/>
          <w:szCs w:val="15"/>
          <w:lang w:val="en-US" w:eastAsia="zh-CN"/>
        </w:rPr>
        <w:t>6893.2024.30570.</w:t>
      </w:r>
    </w:p>
    <w:p w14:paraId="6E5B3DA7">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[8] Saito M,Miyazaki K.Jadeite-bearing metagabbro in serpentinite melange of the“Kurosegawa Belt”in IzumiTown,Yatsushiro City,Kumamoto refecture,central Kyushu[J].Bulletin of the Geological Survey of Ja-pan,2006,57(5/6):169-176.</w:t>
      </w:r>
    </w:p>
    <w:p w14:paraId="5EE0D004">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[9] Myburg A A,Grattapaglia D,Tuskan G A,et al.The genome of Eucalyptus grandis[J/OL].Nature,2014,510:356-362.https://www.nature.</w:t>
      </w:r>
    </w:p>
    <w:p w14:paraId="694F08E7">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com/articles/nature13308.pd.DOI:10.1038/nature13308.</w:t>
      </w:r>
    </w:p>
    <w:p w14:paraId="04F1ECA8">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[10] Veen P H v d,Muller M,Vincken K L,et al.Longitudinal changes in brain volumes and cerebrovascularlesions on MRI in patients with manifest arterial disease:the SMART-MR study[J/OL].J Neurol Sci,2014,337(1/2):112-118.https://pubmed.ncbi.nlm.nih.gov/24314719/.</w:t>
      </w:r>
    </w:p>
    <w:p w14:paraId="568EA428">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DOI:10.1016/j.jns.2013.11.029.</w:t>
      </w:r>
    </w:p>
    <w:p w14:paraId="4FABBAF5">
      <w:pPr>
        <w:numPr>
          <w:numId w:val="0"/>
        </w:numPr>
        <w:spacing w:after="61"/>
        <w:ind w:firstLine="300" w:firstLineChars="200"/>
        <w:jc w:val="both"/>
        <w:rPr>
          <w:rFonts w:hint="default" w:cs="Times New Roman"/>
          <w:sz w:val="15"/>
          <w:szCs w:val="15"/>
          <w:lang w:val="en-US" w:eastAsia="zh-CN"/>
        </w:rPr>
      </w:pPr>
      <w:r>
        <w:rPr>
          <w:rFonts w:hint="eastAsia" w:cs="Times New Roman"/>
          <w:sz w:val="15"/>
          <w:szCs w:val="15"/>
          <w:lang w:val="en-US" w:eastAsia="zh-CN"/>
        </w:rPr>
        <w:t>（3）</w:t>
      </w:r>
      <w:r>
        <w:rPr>
          <w:rFonts w:hint="default" w:cs="Times New Roman"/>
          <w:b/>
          <w:bCs/>
          <w:sz w:val="15"/>
          <w:szCs w:val="15"/>
          <w:lang w:val="en-US" w:eastAsia="zh-CN"/>
        </w:rPr>
        <w:t>会议录</w:t>
      </w:r>
      <w:r>
        <w:rPr>
          <w:rFonts w:hint="default" w:cs="Times New Roman"/>
          <w:sz w:val="15"/>
          <w:szCs w:val="15"/>
          <w:lang w:val="en-US" w:eastAsia="zh-CN"/>
        </w:rPr>
        <w:t>应按以下格式著录：主要责任者.题名：其他题名信息[文献类型标识/文献载体标识]//会议名称，会议年份：引文页码.获取和访问路径.永久标识符.</w:t>
      </w:r>
    </w:p>
    <w:p w14:paraId="039AB60C">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示例：</w:t>
      </w:r>
    </w:p>
    <w:p w14:paraId="3F68F708">
      <w:pPr>
        <w:numPr>
          <w:numId w:val="0"/>
        </w:numPr>
        <w:spacing w:after="61"/>
        <w:jc w:val="both"/>
        <w:rPr>
          <w:rFonts w:hint="default" w:cs="Times New Roman"/>
          <w:sz w:val="15"/>
          <w:szCs w:val="15"/>
          <w:lang w:val="en-US" w:eastAsia="zh-CN"/>
        </w:rPr>
      </w:pPr>
      <w:r>
        <w:rPr>
          <w:rFonts w:hint="eastAsia" w:cs="Times New Roman"/>
          <w:sz w:val="15"/>
          <w:szCs w:val="15"/>
          <w:lang w:val="en-US" w:eastAsia="zh-CN"/>
        </w:rPr>
        <w:t xml:space="preserve">[1] </w:t>
      </w:r>
      <w:r>
        <w:rPr>
          <w:rFonts w:hint="default" w:cs="Times New Roman"/>
          <w:sz w:val="15"/>
          <w:szCs w:val="15"/>
          <w:lang w:val="en-US" w:eastAsia="zh-CN"/>
        </w:rPr>
        <w:t>李妍，王莹</w:t>
      </w:r>
      <w:r>
        <w:rPr>
          <w:rFonts w:hint="eastAsia" w:cs="Times New Roman"/>
          <w:sz w:val="15"/>
          <w:szCs w:val="15"/>
          <w:lang w:val="en-US" w:eastAsia="zh-CN"/>
        </w:rPr>
        <w:t>.</w:t>
      </w:r>
      <w:r>
        <w:rPr>
          <w:rFonts w:hint="default" w:cs="Times New Roman"/>
          <w:sz w:val="15"/>
          <w:szCs w:val="15"/>
          <w:lang w:val="en-US" w:eastAsia="zh-CN"/>
        </w:rPr>
        <w:t>医疗机构保洁人员“一前五后”手卫生干预效果研究[C]//中华预防医学会医院感染控制分会第31次全国医院感染学术年会，2022:2.</w:t>
      </w:r>
    </w:p>
    <w:p w14:paraId="06EB4A13">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[2]</w:t>
      </w:r>
      <w:r>
        <w:rPr>
          <w:rFonts w:hint="eastAsia" w:cs="Times New Roman"/>
          <w:sz w:val="15"/>
          <w:szCs w:val="15"/>
          <w:lang w:val="en-US" w:eastAsia="zh-CN"/>
        </w:rPr>
        <w:t xml:space="preserve"> </w:t>
      </w:r>
      <w:r>
        <w:rPr>
          <w:rFonts w:hint="default" w:cs="Times New Roman"/>
          <w:sz w:val="15"/>
          <w:szCs w:val="15"/>
          <w:lang w:val="en-US" w:eastAsia="zh-CN"/>
        </w:rPr>
        <w:t>Wang Shanshan.Application of improved SOM neural network in intelligent auditing of hospital financial-vouchers[C/OL]//20226th Asian Conference on Artificial Intelligence Technology,2022:2.https://ieeex-plore.ieee.org/document/10137867.DOI:10.1109/ACAIT562</w:t>
      </w:r>
    </w:p>
    <w:p w14:paraId="462FC958">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12.2022.10137867.</w:t>
      </w:r>
    </w:p>
    <w:p w14:paraId="50AF227B">
      <w:pPr>
        <w:numPr>
          <w:numId w:val="0"/>
        </w:numPr>
        <w:spacing w:after="61"/>
        <w:jc w:val="both"/>
        <w:rPr>
          <w:rFonts w:hint="default" w:cs="Times New Roman"/>
          <w:sz w:val="15"/>
          <w:szCs w:val="15"/>
          <w:lang w:val="en-US" w:eastAsia="zh-CN"/>
        </w:rPr>
      </w:pPr>
      <w:r>
        <w:rPr>
          <w:rFonts w:hint="eastAsia" w:cs="Times New Roman"/>
          <w:sz w:val="15"/>
          <w:szCs w:val="15"/>
          <w:lang w:val="en-US" w:eastAsia="zh-CN"/>
        </w:rPr>
        <w:t xml:space="preserve">[3] </w:t>
      </w:r>
      <w:r>
        <w:rPr>
          <w:rFonts w:hint="default" w:cs="Times New Roman"/>
          <w:sz w:val="15"/>
          <w:szCs w:val="15"/>
          <w:lang w:val="en-US" w:eastAsia="zh-CN"/>
        </w:rPr>
        <w:t>Yu Yang,Pan Erting,Wang Xinya,et al.Unmixing before fusion:a generalized paradigm for multi-sourcebased hyperspectral image synthesis[C/OL]//CVPR,2024:4.https://openacces.thecvf.com/content/CVPR2024/html/Yu_Unmixing_Before_Fusion_A_Generalized_Paradigm_for_Multi-Source-based_Hyper-spectral_Image_CVPR_2024_paper.html.</w:t>
      </w:r>
    </w:p>
    <w:p w14:paraId="2A5E1FDD">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牛志明，Swingland IR,雷光春.综合湿地管理：综合湿地管理国际研讨会论文集[C].北京：海洋出版社，2012.</w:t>
      </w:r>
    </w:p>
    <w:p w14:paraId="754F1F1F">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w:t>
      </w:r>
      <w:r>
        <w:rPr>
          <w:rFonts w:hint="eastAsia" w:cs="Times New Roman"/>
          <w:sz w:val="15"/>
          <w:szCs w:val="15"/>
          <w:lang w:val="en-US" w:eastAsia="zh-CN"/>
        </w:rPr>
        <w:t>5</w:t>
      </w:r>
      <w:r>
        <w:rPr>
          <w:rFonts w:hint="default" w:cs="Times New Roman"/>
          <w:sz w:val="15"/>
          <w:szCs w:val="15"/>
          <w:lang w:val="en-US" w:eastAsia="zh-CN"/>
        </w:rPr>
        <w:t>]</w:t>
      </w:r>
      <w:r>
        <w:rPr>
          <w:rFonts w:hint="eastAsia" w:cs="Times New Roman"/>
          <w:sz w:val="15"/>
          <w:szCs w:val="15"/>
          <w:lang w:val="en-US" w:eastAsia="zh-CN"/>
        </w:rPr>
        <w:t xml:space="preserve"> </w:t>
      </w:r>
      <w:r>
        <w:rPr>
          <w:rFonts w:hint="default" w:cs="Times New Roman"/>
          <w:sz w:val="15"/>
          <w:szCs w:val="15"/>
          <w:lang w:val="en-US" w:eastAsia="zh-CN"/>
        </w:rPr>
        <w:t>汪学军.中国农业转基因生物研发进展与安全管理[C]//国家环境保护总局生物安全管理办公室.中国国家生物安全框架实施国际合作项目研讨会论文集.北京：中国环境科学出版社，2005:22-25.</w:t>
      </w:r>
    </w:p>
    <w:p w14:paraId="03FD5866">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w:t>
      </w:r>
      <w:r>
        <w:rPr>
          <w:rFonts w:hint="eastAsia" w:cs="Times New Roman"/>
          <w:sz w:val="15"/>
          <w:szCs w:val="15"/>
          <w:lang w:val="en-US" w:eastAsia="zh-CN"/>
        </w:rPr>
        <w:t>6</w:t>
      </w:r>
      <w:r>
        <w:rPr>
          <w:rFonts w:hint="default" w:cs="Times New Roman"/>
          <w:sz w:val="15"/>
          <w:szCs w:val="15"/>
          <w:lang w:val="en-US" w:eastAsia="zh-CN"/>
        </w:rPr>
        <w:t>]</w:t>
      </w:r>
      <w:r>
        <w:rPr>
          <w:rFonts w:hint="eastAsia" w:cs="Times New Roman"/>
          <w:sz w:val="15"/>
          <w:szCs w:val="15"/>
          <w:lang w:val="en-US" w:eastAsia="zh-CN"/>
        </w:rPr>
        <w:t xml:space="preserve"> </w:t>
      </w:r>
      <w:r>
        <w:rPr>
          <w:rFonts w:hint="default" w:cs="Times New Roman"/>
          <w:sz w:val="15"/>
          <w:szCs w:val="15"/>
          <w:lang w:val="en-US" w:eastAsia="zh-CN"/>
        </w:rPr>
        <w:t>肖希明，石庆功，刘奕.民国图书馆学教育的社会贡献[C]//纪念北京大学图书馆学教育100周年研讨会论文集.北京：北京大学信息管理系，2024:134-147.</w:t>
      </w:r>
    </w:p>
    <w:p w14:paraId="0A96B630">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w:t>
      </w:r>
      <w:r>
        <w:rPr>
          <w:rFonts w:hint="eastAsia" w:cs="Times New Roman"/>
          <w:sz w:val="15"/>
          <w:szCs w:val="15"/>
          <w:lang w:val="en-US" w:eastAsia="zh-CN"/>
        </w:rPr>
        <w:t>7</w:t>
      </w:r>
      <w:r>
        <w:rPr>
          <w:rFonts w:hint="default" w:cs="Times New Roman"/>
          <w:sz w:val="15"/>
          <w:szCs w:val="15"/>
          <w:lang w:val="en-US" w:eastAsia="zh-CN"/>
        </w:rPr>
        <w:t>]</w:t>
      </w:r>
      <w:r>
        <w:rPr>
          <w:rFonts w:hint="eastAsia" w:cs="Times New Roman"/>
          <w:sz w:val="15"/>
          <w:szCs w:val="15"/>
          <w:lang w:val="en-US" w:eastAsia="zh-CN"/>
        </w:rPr>
        <w:t xml:space="preserve"> </w:t>
      </w:r>
      <w:r>
        <w:rPr>
          <w:rFonts w:hint="default" w:cs="Times New Roman"/>
          <w:sz w:val="15"/>
          <w:szCs w:val="15"/>
          <w:lang w:val="en-US" w:eastAsia="zh-CN"/>
        </w:rPr>
        <w:t>Yufin S A.Geoecology and computers:proceedings of the Third International Conference on Advances ofComputer Methods in Geotechnical and Geoenvironmental Engineering,Moscow,Russia,February 1-4,2000[C].Rotterdam:A.A.Balkema,2000.</w:t>
      </w:r>
    </w:p>
    <w:p w14:paraId="5150B14E">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w:t>
      </w:r>
      <w:r>
        <w:rPr>
          <w:rFonts w:hint="eastAsia" w:cs="Times New Roman"/>
          <w:sz w:val="15"/>
          <w:szCs w:val="15"/>
          <w:lang w:val="en-US" w:eastAsia="zh-CN"/>
        </w:rPr>
        <w:t>8</w:t>
      </w:r>
      <w:r>
        <w:rPr>
          <w:rFonts w:hint="default" w:cs="Times New Roman"/>
          <w:sz w:val="15"/>
          <w:szCs w:val="15"/>
          <w:lang w:val="en-US" w:eastAsia="zh-CN"/>
        </w:rPr>
        <w:t>]</w:t>
      </w:r>
      <w:r>
        <w:rPr>
          <w:rFonts w:hint="eastAsia" w:cs="Times New Roman"/>
          <w:sz w:val="15"/>
          <w:szCs w:val="15"/>
          <w:lang w:val="en-US" w:eastAsia="zh-CN"/>
        </w:rPr>
        <w:t xml:space="preserve"> </w:t>
      </w:r>
      <w:r>
        <w:rPr>
          <w:rFonts w:hint="default" w:cs="Times New Roman"/>
          <w:sz w:val="15"/>
          <w:szCs w:val="15"/>
          <w:lang w:val="en-US" w:eastAsia="zh-CN"/>
        </w:rPr>
        <w:t>Fourney M</w:t>
      </w:r>
      <w:r>
        <w:rPr>
          <w:rFonts w:hint="eastAsia" w:cs="Times New Roman"/>
          <w:sz w:val="15"/>
          <w:szCs w:val="15"/>
          <w:lang w:val="en-US" w:eastAsia="zh-CN"/>
        </w:rPr>
        <w:t xml:space="preserve"> </w:t>
      </w:r>
      <w:r>
        <w:rPr>
          <w:rFonts w:hint="default" w:cs="Times New Roman"/>
          <w:sz w:val="15"/>
          <w:szCs w:val="15"/>
          <w:lang w:val="en-US" w:eastAsia="zh-CN"/>
        </w:rPr>
        <w:t>E.Advances in holographic photoelasticity[C]//Gottenberg WG.Symposium on Applications ofHolography in Mechanics,August 23-25,1971,University of Southern California,Los Angeles,Califiornia.New York:ASME,1971:17-38.</w:t>
      </w:r>
    </w:p>
    <w:p w14:paraId="4B8FDC7C">
      <w:pPr>
        <w:numPr>
          <w:numId w:val="0"/>
        </w:numPr>
        <w:spacing w:after="61"/>
        <w:ind w:firstLine="300" w:firstLineChars="200"/>
        <w:jc w:val="both"/>
        <w:rPr>
          <w:rFonts w:hint="default" w:cs="Times New Roman"/>
          <w:sz w:val="15"/>
          <w:szCs w:val="15"/>
          <w:lang w:val="en-US" w:eastAsia="zh-CN"/>
        </w:rPr>
      </w:pPr>
      <w:r>
        <w:rPr>
          <w:rFonts w:hint="eastAsia" w:cs="Times New Roman"/>
          <w:sz w:val="15"/>
          <w:szCs w:val="15"/>
          <w:lang w:val="en-US" w:eastAsia="zh-CN"/>
        </w:rPr>
        <w:t>（4）</w:t>
      </w:r>
      <w:r>
        <w:rPr>
          <w:rFonts w:hint="eastAsia" w:cs="Times New Roman"/>
          <w:b/>
          <w:bCs/>
          <w:sz w:val="15"/>
          <w:szCs w:val="15"/>
          <w:lang w:val="en-US" w:eastAsia="zh-CN"/>
        </w:rPr>
        <w:t>学位</w:t>
      </w:r>
      <w:r>
        <w:rPr>
          <w:rFonts w:hint="eastAsia" w:cs="Times New Roman"/>
          <w:sz w:val="15"/>
          <w:szCs w:val="15"/>
          <w:lang w:val="en-US" w:eastAsia="zh-CN"/>
        </w:rPr>
        <w:t>论文著录格式：主要责任者.题名：其他题名信息[文献类型标识/文献载体标识].学位授予单位所在地：学位授予单位，学位授予年：引文页码.获取和访问路径.永久标识符.</w:t>
      </w:r>
    </w:p>
    <w:p w14:paraId="576278A4">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7A031D07">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王琦.融合星载GNSS-R和SAR数据的高时空分辨率土壤湿度反演方法研究[D].武汉：武汉大学，2022:87.</w:t>
      </w:r>
    </w:p>
    <w:p w14:paraId="25D77CE5">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金燕萍.社交媒体时代的虚假信息研究[D/OL].温州：温州大学，2020:16. https://d.wanfangdata.com.cn/thesis/D02216281.</w:t>
      </w:r>
    </w:p>
    <w:p w14:paraId="2C079538">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[3]井丽南.支持状态可编程的SDN交换机关键技术研究[D/OL].北京：中国科学院大学，2022:43. http://dpaper.las.ac.cn/Dpapcr/detail/detailNew?paperID=20209289.CSTR:35001.37.01.33142.20220037.</w:t>
      </w:r>
    </w:p>
    <w:p w14:paraId="061DA825">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Cairns B R.Infrared spectroscopic studies of solid oxygen[D].Berkeley:University of California,Berkeley,1965:15.</w:t>
      </w:r>
    </w:p>
    <w:p w14:paraId="444ED548">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[5] Christou A.Improving knowledge graph understanding with contextual views[D/OL].Ohio:Wright StateUniversity,2024:18.http://rave.</w:t>
      </w:r>
    </w:p>
    <w:p w14:paraId="2053B911">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ohiolink,edu/etdc/view?acc_num=wright1715878159408301.</w:t>
      </w:r>
    </w:p>
    <w:p w14:paraId="3F5D1676">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（5）</w:t>
      </w:r>
      <w:r>
        <w:rPr>
          <w:rFonts w:hint="eastAsia" w:cs="Times New Roman"/>
          <w:b/>
          <w:bCs/>
          <w:sz w:val="15"/>
          <w:szCs w:val="15"/>
          <w:lang w:val="en-US" w:eastAsia="zh-CN"/>
        </w:rPr>
        <w:t>报告</w:t>
      </w:r>
      <w:r>
        <w:rPr>
          <w:rFonts w:hint="eastAsia" w:cs="Times New Roman"/>
          <w:sz w:val="15"/>
          <w:szCs w:val="15"/>
          <w:lang w:val="en-US" w:eastAsia="zh-CN"/>
        </w:rPr>
        <w:t>著录格式：主要责任者.题名：其他题名信息：报告编号[文献类型标识/文献载体标识].发布日期：引文页码.获取和访问路径.永久标识符.</w:t>
      </w:r>
    </w:p>
    <w:p w14:paraId="600D062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56F5DFB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汤万金，杨跃翔，刘文，等.人体安全重要技术标准研制最终报告：7178999X-2005BAK04A10/10.2013[R/OL].2013-09-30.</w:t>
      </w:r>
    </w:p>
    <w:p w14:paraId="0239C968">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htups//wwwnstrs.cn/xiangxiBG.aspx?id=41707.</w:t>
      </w:r>
    </w:p>
    <w:p w14:paraId="37B2E229">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中国信息通信研究院，中国电信股份有限公司研究院，中国移动通信研究院，等.电信业发展白皮书：2023:新时代高质量发展探索[R/OL].2023-12-28.http://www.caict.ac.cn/kxy;/qwb/bps/202312/P020240326615399026294.pdí.</w:t>
      </w:r>
    </w:p>
    <w:p w14:paraId="52907723">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Calkin D E,Ager A A,Thompson M P,et al.A comparative risk assesment Gamework for wildlandfire marngement,the 2010 cohesive strategy science report:RMRSGTR-262[R/OL].2011:8-9. https://wwm fs.usdangov/rm/pubs/rmrs_gtr262.pdf.</w:t>
      </w:r>
    </w:p>
    <w:p w14:paraId="0F013ABC">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U.S.Department of Transportion Federal Highway Adminisration.Guideines for handling excavated acid-producing materials:PB 91-194001[R].Sprmgfield:U.S.Deparment of Commerce National InformationService,1990:25.</w:t>
      </w:r>
    </w:p>
    <w:p w14:paraId="29A8F994">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（6）</w:t>
      </w:r>
      <w:r>
        <w:rPr>
          <w:rFonts w:hint="eastAsia" w:cs="Times New Roman"/>
          <w:b/>
          <w:bCs/>
          <w:sz w:val="15"/>
          <w:szCs w:val="15"/>
          <w:lang w:val="en-US" w:eastAsia="zh-CN"/>
        </w:rPr>
        <w:t>标准</w:t>
      </w:r>
      <w:r>
        <w:rPr>
          <w:rFonts w:hint="eastAsia" w:cs="Times New Roman"/>
          <w:sz w:val="15"/>
          <w:szCs w:val="15"/>
          <w:lang w:val="en-US" w:eastAsia="zh-CN"/>
        </w:rPr>
        <w:t>著录格式：标准编号 标准名称[文献类型标识/文献载体标识].获取和访问路径.永久标识符.</w:t>
      </w:r>
    </w:p>
    <w:p w14:paraId="09DBAC40">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0B0753A6">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GB/T 3792—2021 信息与文献 资源描述[S].</w:t>
      </w:r>
    </w:p>
    <w:p w14:paraId="0F615597">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NB/T 10386—2020 水电工程水温实时监测系统技术規范[S].</w:t>
      </w:r>
    </w:p>
    <w:p w14:paraId="28DD9262">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GB/T 20090.16—2016 信息技术 先进音视频编码 第16部分：广播电视视频[S/OL].http://c.gb688.cn/bzgk/gb/showGb?type=onli</w:t>
      </w:r>
    </w:p>
    <w:p w14:paraId="1EA0AD68">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ne&amp;hcno=1D4AC2D4256C8DE7EOAA286CA7649300.</w:t>
      </w:r>
    </w:p>
    <w:p w14:paraId="7210D224">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ISO 21378:2019 Audit data collection[S].</w:t>
      </w:r>
    </w:p>
    <w:p w14:paraId="31846A21">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[5] IEC/IEEE 61636-1:2021 Software interface for maintenance information collection and analysis(SIMICA):exchanging test results and session information via the eXtensible Markup Language(XML)[S].</w:t>
      </w:r>
    </w:p>
    <w:p w14:paraId="5AA09F22">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（7）</w:t>
      </w:r>
      <w:r>
        <w:rPr>
          <w:rFonts w:hint="eastAsia" w:cs="Times New Roman"/>
          <w:b/>
          <w:bCs/>
          <w:sz w:val="15"/>
          <w:szCs w:val="15"/>
          <w:lang w:val="en-US" w:eastAsia="zh-CN"/>
        </w:rPr>
        <w:t>专利</w:t>
      </w:r>
      <w:r>
        <w:rPr>
          <w:rFonts w:hint="eastAsia" w:cs="Times New Roman"/>
          <w:sz w:val="15"/>
          <w:szCs w:val="15"/>
          <w:lang w:val="en-US" w:eastAsia="zh-CN"/>
        </w:rPr>
        <w:t>著录格式：专利申请者/所有者.题名：其他题名信息：专利申请号[文献类型标识/文献载体标识].公告(公开)日期：引文页码.获取和访问路径。永久标识符.</w:t>
      </w:r>
    </w:p>
    <w:p w14:paraId="4350B8A5">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3A6B184E">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邓一刚.全智能节电器：CN200610171314.3[P].2008-01-16:8-9.</w:t>
      </w:r>
    </w:p>
    <w:p w14:paraId="4921F761">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西安电子科技大学.光折变自适应光外差探测方法：CNO1128777.2[P/OL].2002-03-06. http://211.152.9M7/siponsp/zljs/hyjs-yx-ne</w:t>
      </w:r>
    </w:p>
    <w:p w14:paraId="45BAA752">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w.asp?recid=01128777.2&amp;leixin=0.</w:t>
      </w:r>
    </w:p>
    <w:p w14:paraId="47B192F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中国科学院苏州生物医学工程技术研究所.光口匕-レ&gt;ス断眉拡張現实に基&lt;手忻题微能撮像システ4及び方法：JP2021578120A[P/OL].2022-09-13. hups://pss-system.eponline cnipa.gov.cn/documents/letail?prevPageTit=changgui.</w:t>
      </w:r>
    </w:p>
    <w:p w14:paraId="43E74F2D">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Trisco Icap Pry Ltd.Storagc and delivery system:AU2022228203A[P/OL].2022-10-06. https//worldwide es-pacen-t.com/patent/searah</w:t>
      </w:r>
    </w:p>
    <w:p w14:paraId="78351733">
      <w:pPr>
        <w:numPr>
          <w:numId w:val="0"/>
        </w:numPr>
        <w:spacing w:after="61"/>
        <w:jc w:val="both"/>
        <w:rPr>
          <w:rFonts w:hint="default" w:cs="Times New Roman"/>
          <w:sz w:val="15"/>
          <w:szCs w:val="15"/>
          <w:lang w:val="en-US" w:eastAsia="zh-CN"/>
        </w:rPr>
      </w:pPr>
      <w:r>
        <w:rPr>
          <w:rFonts w:hint="eastAsia" w:cs="Times New Roman"/>
          <w:sz w:val="15"/>
          <w:szCs w:val="15"/>
          <w:lang w:val="en-US" w:eastAsia="zh-CN"/>
        </w:rPr>
        <w:t>/family/061561249/publicaton(AU202228203Al?q=AU2022228203A.</w:t>
      </w:r>
    </w:p>
    <w:p w14:paraId="362B2A00">
      <w:pPr>
        <w:numPr>
          <w:numId w:val="0"/>
        </w:numPr>
        <w:spacing w:after="61"/>
        <w:ind w:firstLine="300" w:firstLineChars="200"/>
        <w:jc w:val="both"/>
        <w:rPr>
          <w:rFonts w:hint="default" w:cs="Times New Roman"/>
          <w:sz w:val="15"/>
          <w:szCs w:val="15"/>
          <w:lang w:val="en-US" w:eastAsia="zh-CN"/>
        </w:rPr>
      </w:pPr>
      <w:r>
        <w:rPr>
          <w:rFonts w:hint="eastAsia" w:cs="Times New Roman"/>
          <w:sz w:val="15"/>
          <w:szCs w:val="15"/>
          <w:lang w:val="en-US" w:eastAsia="zh-CN"/>
        </w:rPr>
        <w:t>（8）</w:t>
      </w:r>
      <w:r>
        <w:rPr>
          <w:rFonts w:hint="eastAsia" w:cs="Times New Roman"/>
          <w:b/>
          <w:bCs/>
          <w:sz w:val="15"/>
          <w:szCs w:val="15"/>
          <w:lang w:val="en-US" w:eastAsia="zh-CN"/>
        </w:rPr>
        <w:t>网站、网页</w:t>
      </w:r>
      <w:r>
        <w:rPr>
          <w:rFonts w:hint="eastAsia" w:cs="Times New Roman"/>
          <w:sz w:val="15"/>
          <w:szCs w:val="15"/>
          <w:lang w:val="en-US" w:eastAsia="zh-CN"/>
        </w:rPr>
        <w:t>著录格式：主要责任者.题名：其他题名信息[文献类型标识/文献载体标识].（创建或修改日期）[引用日期].获取和访问路径.永久标识符.</w:t>
      </w:r>
    </w:p>
    <w:p w14:paraId="377D6ADD">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19DB5DFD">
      <w:pPr>
        <w:numPr>
          <w:numId w:val="0"/>
        </w:numPr>
        <w:spacing w:after="61"/>
        <w:jc w:val="both"/>
        <w:rPr>
          <w:rFonts w:hint="default" w:cs="Times New Roman"/>
          <w:sz w:val="15"/>
          <w:szCs w:val="15"/>
          <w:lang w:val="en-US" w:eastAsia="zh-CN"/>
        </w:rPr>
      </w:pPr>
      <w:r>
        <w:rPr>
          <w:rFonts w:hint="eastAsia" w:cs="Times New Roman"/>
          <w:sz w:val="15"/>
          <w:szCs w:val="15"/>
          <w:lang w:val="en-US" w:eastAsia="zh-CN"/>
        </w:rPr>
        <w:t>[1] 中国国家博物馆[EB/OL].[2025-05-06].https://www.chnmuseum.cn/.</w:t>
      </w:r>
    </w:p>
    <w:p w14:paraId="36EF02BA">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Library of Congress[EB/OL]. [2020-06-12]. https://www.Loc.gov.</w:t>
      </w:r>
    </w:p>
    <w:p w14:paraId="231265F5">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[《昨日之歌》图书封面][EB/OL].(2015-09-18)[2023-03-06].http://www.luxunmuseum.com.cn/uploads/allimg/150813/1-150Q319521</w:t>
      </w:r>
    </w:p>
    <w:p w14:paraId="55202576">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10-L.jpg.</w:t>
      </w:r>
    </w:p>
    <w:p w14:paraId="52CB8F5C">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w:t>
      </w:r>
      <w:r>
        <w:rPr>
          <w:rFonts w:hint="eastAsia" w:cs="Times New Roman"/>
          <w:sz w:val="15"/>
          <w:szCs w:val="15"/>
          <w:lang w:val="en-US" w:eastAsia="zh-CN"/>
        </w:rPr>
        <w:t>3</w:t>
      </w:r>
      <w:r>
        <w:rPr>
          <w:rFonts w:hint="default" w:cs="Times New Roman"/>
          <w:sz w:val="15"/>
          <w:szCs w:val="15"/>
          <w:lang w:val="en-US" w:eastAsia="zh-CN"/>
        </w:rPr>
        <w:t>]</w:t>
      </w:r>
      <w:r>
        <w:rPr>
          <w:rFonts w:hint="eastAsia" w:cs="Times New Roman"/>
          <w:sz w:val="15"/>
          <w:szCs w:val="15"/>
          <w:lang w:val="en-US" w:eastAsia="zh-CN"/>
        </w:rPr>
        <w:t xml:space="preserve"> </w:t>
      </w:r>
      <w:r>
        <w:rPr>
          <w:rFonts w:hint="default" w:cs="Times New Roman"/>
          <w:sz w:val="15"/>
          <w:szCs w:val="15"/>
          <w:lang w:val="en-US" w:eastAsia="zh-CN"/>
        </w:rPr>
        <w:t>António M,Pepper L.Histórias de Portugal:livros caídos[EB/OL].(2019-07-13)[2025-01-02].</w:t>
      </w:r>
      <w:r>
        <w:rPr>
          <w:rFonts w:hint="eastAsia" w:cs="Times New Roman"/>
          <w:sz w:val="15"/>
          <w:szCs w:val="15"/>
          <w:lang w:val="en-US" w:eastAsia="zh-CN"/>
        </w:rPr>
        <w:t xml:space="preserve"> </w:t>
      </w:r>
      <w:r>
        <w:rPr>
          <w:rFonts w:hint="default" w:cs="Times New Roman"/>
          <w:sz w:val="15"/>
          <w:szCs w:val="15"/>
          <w:lang w:val="en-US" w:eastAsia="zh-CN"/>
        </w:rPr>
        <w:t>https://arquivo.pt/wayback/20190905210</w:t>
      </w:r>
    </w:p>
    <w:p w14:paraId="78EC36E8">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731/http://public.pt/2019/07/13/sociedade/noticia/podcast-his-torias-portugal-cuidadores-1879731.</w:t>
      </w:r>
    </w:p>
    <w:p w14:paraId="7E26D0C4">
      <w:pPr>
        <w:numPr>
          <w:numId w:val="0"/>
        </w:numPr>
        <w:spacing w:after="61"/>
        <w:jc w:val="both"/>
        <w:rPr>
          <w:rFonts w:hint="default" w:cs="Times New Roman"/>
          <w:sz w:val="15"/>
          <w:szCs w:val="15"/>
          <w:lang w:val="en-US" w:eastAsia="zh-CN"/>
        </w:rPr>
      </w:pPr>
      <w:r>
        <w:rPr>
          <w:rFonts w:hint="default" w:cs="Times New Roman"/>
          <w:sz w:val="15"/>
          <w:szCs w:val="15"/>
          <w:lang w:val="en-US" w:eastAsia="zh-CN"/>
        </w:rPr>
        <w:t>[</w:t>
      </w:r>
      <w:r>
        <w:rPr>
          <w:rFonts w:hint="eastAsia" w:cs="Times New Roman"/>
          <w:sz w:val="15"/>
          <w:szCs w:val="15"/>
          <w:lang w:val="en-US" w:eastAsia="zh-CN"/>
        </w:rPr>
        <w:t>4</w:t>
      </w:r>
      <w:r>
        <w:rPr>
          <w:rFonts w:hint="default" w:cs="Times New Roman"/>
          <w:sz w:val="15"/>
          <w:szCs w:val="15"/>
          <w:lang w:val="en-US" w:eastAsia="zh-CN"/>
        </w:rPr>
        <w:t>]</w:t>
      </w:r>
      <w:r>
        <w:rPr>
          <w:rFonts w:hint="eastAsia" w:cs="Times New Roman"/>
          <w:sz w:val="15"/>
          <w:szCs w:val="15"/>
          <w:lang w:val="en-US" w:eastAsia="zh-CN"/>
        </w:rPr>
        <w:t xml:space="preserve"> </w:t>
      </w:r>
      <w:r>
        <w:rPr>
          <w:rFonts w:hint="default" w:cs="Times New Roman"/>
          <w:sz w:val="15"/>
          <w:szCs w:val="15"/>
          <w:lang w:val="en-US" w:eastAsia="zh-CN"/>
        </w:rPr>
        <w:t>Zotero.[Zotero download][CP/OL].[2024-04-08].</w:t>
      </w:r>
      <w:r>
        <w:rPr>
          <w:rFonts w:hint="eastAsia" w:cs="Times New Roman"/>
          <w:sz w:val="15"/>
          <w:szCs w:val="15"/>
          <w:lang w:val="en-US" w:eastAsia="zh-CN"/>
        </w:rPr>
        <w:t xml:space="preserve"> </w:t>
      </w:r>
      <w:r>
        <w:rPr>
          <w:rFonts w:hint="default" w:cs="Times New Roman"/>
          <w:sz w:val="15"/>
          <w:szCs w:val="15"/>
          <w:lang w:val="en-US" w:eastAsia="zh-CN"/>
        </w:rPr>
        <w:t>https://www.zotero.org/download/.</w:t>
      </w:r>
    </w:p>
    <w:p w14:paraId="0147366E">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（9）</w:t>
      </w:r>
      <w:r>
        <w:rPr>
          <w:rFonts w:hint="eastAsia" w:cs="Times New Roman"/>
          <w:b/>
          <w:bCs/>
          <w:sz w:val="15"/>
          <w:szCs w:val="15"/>
          <w:lang w:val="en-US" w:eastAsia="zh-CN"/>
        </w:rPr>
        <w:t>档案</w:t>
      </w:r>
      <w:r>
        <w:rPr>
          <w:rFonts w:hint="eastAsia" w:cs="Times New Roman"/>
          <w:sz w:val="15"/>
          <w:szCs w:val="15"/>
          <w:lang w:val="en-US" w:eastAsia="zh-CN"/>
        </w:rPr>
        <w:t>著录格式：主要责任者.题名：其他题名信息：档号[文献类型标识/文献载体标识].收藏者所在地：收藏者，形成日期：引文页码.获取和访问路径.永久标识符.</w:t>
      </w:r>
    </w:p>
    <w:p w14:paraId="6D9541FA">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3C6787BF">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李鸿章.奏请上海道库洋务外销要款无款可筹仍拨药厘接济事：04-01-35-0399-039[A].北京：中国第一历史档案馆，1887(光绪十三年三月十三日).</w:t>
      </w:r>
    </w:p>
    <w:p w14:paraId="48141190">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湖北省建设厅.湖北省建设厅关于检发实业部农工矿业团体登记规则的布告、训令及湖北省政府的训令：LSO31-001-0001-001[A/OL].武汉：湖北省档案馆，1931-11-07.https://www.hbda,gov.cn/pdf/LSO31-001-0001-001.PDF.PDF.</w:t>
      </w:r>
    </w:p>
    <w:p w14:paraId="708FC18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中国人民解放军武汉市军事管制委员会接管国立武汉大学的文告[A/OL].武汉：武汉大学档案馆，1949(中华民国三十八年八月). https://archive.whu.edu.cn/index/forwardView/20/51.</w:t>
      </w:r>
    </w:p>
    <w:p w14:paraId="0A032676">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Fitzwilliam H.[Letter to Bess of Hardwick][A/OL].1570-07-28. https://www.bessofhardwick,org/letter.jsp?letter=25.</w:t>
      </w:r>
    </w:p>
    <w:p w14:paraId="00B51AB2">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（10）</w:t>
      </w:r>
      <w:r>
        <w:rPr>
          <w:rFonts w:hint="eastAsia" w:cs="Times New Roman"/>
          <w:b/>
          <w:bCs/>
          <w:sz w:val="15"/>
          <w:szCs w:val="15"/>
          <w:lang w:val="en-US" w:eastAsia="zh-CN"/>
        </w:rPr>
        <w:t>地图</w:t>
      </w:r>
      <w:r>
        <w:rPr>
          <w:rFonts w:hint="eastAsia" w:cs="Times New Roman"/>
          <w:sz w:val="15"/>
          <w:szCs w:val="15"/>
          <w:lang w:val="en-US" w:eastAsia="zh-CN"/>
        </w:rPr>
        <w:t>著录格式：主要责任者.题名：其他题名信息.比例尺[文献类型标识/文献载体标识].版本.出版地：出版者，出版年.尺寸.获取和访问路径.永久标识符.</w:t>
      </w:r>
    </w:p>
    <w:p w14:paraId="0443DE9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05E66803">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胡健民.东南极拉斯曼丘陵地区地质图.1:25000[CM].北京：科学出版社，2021.128cm×84cm.</w:t>
      </w:r>
    </w:p>
    <w:p w14:paraId="5610173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[2]刘祥沈.沈阳市政区图.1:170000[CM].武汉：武汉大学出版社，2016.138cm×96cm.</w:t>
      </w:r>
    </w:p>
    <w:p w14:paraId="13E69D49">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[3]国家测绘地理信息局.一带一路经济走廊及其途经城市分布地势图[CM/OL].http://ydlyl.china.com.cn/2016-10/27/content_395822</w:t>
      </w:r>
    </w:p>
    <w:p w14:paraId="042C802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7.htm.</w:t>
      </w:r>
    </w:p>
    <w:p w14:paraId="11C92090">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[4] 訾冬梅，高秀静.内蒙古自治区地图册[CM].新版.北京：中国地图出版社，2006.</w:t>
      </w:r>
    </w:p>
    <w:p w14:paraId="2EB26050">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[5] 谭其骧.中国历史地图集：第2册[CM].北京：地图出版社，1982:6.</w:t>
      </w:r>
    </w:p>
    <w:p w14:paraId="4C1780DE">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（11）</w:t>
      </w:r>
      <w:r>
        <w:rPr>
          <w:rFonts w:hint="eastAsia" w:cs="Times New Roman"/>
          <w:b/>
          <w:bCs/>
          <w:sz w:val="15"/>
          <w:szCs w:val="15"/>
          <w:lang w:val="en-US" w:eastAsia="zh-CN"/>
        </w:rPr>
        <w:t>数据集</w:t>
      </w:r>
      <w:r>
        <w:rPr>
          <w:rFonts w:hint="eastAsia" w:cs="Times New Roman"/>
          <w:sz w:val="15"/>
          <w:szCs w:val="15"/>
          <w:lang w:val="en-US" w:eastAsia="zh-CN"/>
        </w:rPr>
        <w:t>著录格式：主要责任者.题名：其他题名信息[文献类型标识/文献载体标识].版本.发布平台(发布或修改日期)[引用日期].获取和访问路径.永久标识符.</w:t>
      </w:r>
    </w:p>
    <w:p w14:paraId="0FAC15F9">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675BB772">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周壮，李盛阳，吴薇，等.天宫二号遥感图像自然景物分类科学数据[DS/OL].V1.0.国家基础学科公共科学数据中心(2023-09-10)[2025-07-15].https://www.nbsde.cn/general/dataLinks/CSTR:1666.11,nbsdc.tfpbwtqf.</w:t>
      </w:r>
    </w:p>
    <w:p w14:paraId="3BAE8C3B">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黄土高原科学数据中心(西北农林科技大学水土保持研究所).青海省县域教育、卫生发展指标(2001一2022年)[DS/OL].国家地球系统科学数据中心-黄土高原分中心(2024-12-25)[2025-07-10].https://loess.geodata.cn/data/datadetails.html?dataguid=58691800703</w:t>
      </w:r>
    </w:p>
    <w:p w14:paraId="522B4409">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558.DOI:10.12041/geodata.58691800703558.ver1.db.</w:t>
      </w:r>
    </w:p>
    <w:p w14:paraId="1B5BB232">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IHME.Global burden of disease study 2019(GBD 2019)data resources[DS/OL].Global Health Data Ex-change(2021)[2025-07-15]. https://ghdx.healthdata,org/gbd-2019.</w:t>
      </w:r>
    </w:p>
    <w:p w14:paraId="3844D63C">
      <w:pPr>
        <w:numPr>
          <w:numId w:val="0"/>
        </w:numPr>
        <w:spacing w:after="61"/>
        <w:ind w:firstLine="300" w:firstLineChars="200"/>
        <w:jc w:val="both"/>
        <w:rPr>
          <w:rFonts w:hint="eastAsia" w:cs="Times New Roman"/>
          <w:sz w:val="15"/>
          <w:szCs w:val="15"/>
          <w:lang w:val="en-US" w:eastAsia="zh-CN"/>
        </w:rPr>
      </w:pPr>
      <w:r>
        <w:rPr>
          <w:rFonts w:hint="eastAsia" w:cs="Times New Roman"/>
          <w:sz w:val="15"/>
          <w:szCs w:val="15"/>
          <w:lang w:val="en-US" w:eastAsia="zh-CN"/>
        </w:rPr>
        <w:t>（12）</w:t>
      </w:r>
      <w:r>
        <w:rPr>
          <w:rFonts w:hint="eastAsia" w:cs="Times New Roman"/>
          <w:b/>
          <w:bCs/>
          <w:sz w:val="15"/>
          <w:szCs w:val="15"/>
          <w:lang w:val="en-US" w:eastAsia="zh-CN"/>
        </w:rPr>
        <w:t>预印本</w:t>
      </w:r>
      <w:r>
        <w:rPr>
          <w:rFonts w:hint="eastAsia" w:cs="Times New Roman"/>
          <w:sz w:val="15"/>
          <w:szCs w:val="15"/>
          <w:lang w:val="en-US" w:eastAsia="zh-CN"/>
        </w:rPr>
        <w:t>著录格式：主要责任者.题名：其他题名信息[文献类型标识/文献载体标识].版本.出版平台(创建或修改日期)[引用日期].获取和访问路径.永久标识符.”</w:t>
      </w:r>
    </w:p>
    <w:p w14:paraId="3DFD1BFE">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示例：</w:t>
      </w:r>
    </w:p>
    <w:p w14:paraId="64C7720F">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[1] 肖玲，张雪，王永.数据要素的统计测算方法探究[PP/OL]. PSSXiv(2024-07-02)[2024-09-30].https://zsyyb.cn/abs/202408.01096.</w:t>
      </w:r>
    </w:p>
    <w:p w14:paraId="53F53853">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CSTR:32012.36.PSSXiv.202408.01096.</w:t>
      </w:r>
    </w:p>
    <w:p w14:paraId="47075BC1">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[2] 方向明，曹迎杰.元宇宙在图书馆的应用：理论研究与实践进展[PP/OL]. ChinaXiv(2023-03-03)[2024-09-30].http://www.chinaxiv.</w:t>
      </w:r>
    </w:p>
    <w:p w14:paraId="7314F4D9">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org/abs/202303.00020.CSTR:32003.36.ChinaXiv.202303.00020.V1.</w:t>
      </w:r>
    </w:p>
    <w:p w14:paraId="24DDFD9E">
      <w:pPr>
        <w:numPr>
          <w:numId w:val="0"/>
        </w:numPr>
        <w:spacing w:after="61"/>
        <w:jc w:val="both"/>
        <w:rPr>
          <w:rFonts w:hint="eastAsia" w:cs="Times New Roman"/>
          <w:sz w:val="15"/>
          <w:szCs w:val="15"/>
          <w:lang w:val="en-US" w:eastAsia="zh-CN"/>
        </w:rPr>
      </w:pPr>
      <w:r>
        <w:rPr>
          <w:rFonts w:hint="eastAsia" w:cs="Times New Roman"/>
          <w:sz w:val="15"/>
          <w:szCs w:val="15"/>
          <w:lang w:val="en-US" w:eastAsia="zh-CN"/>
        </w:rPr>
        <w:t>[3] Jenkins S D,Ruostekoski J.Controlled manipulation of light by cooperative response of atoms in an opticallattice[PP/OL].V2. (2012-03-18)[2020-06-24].https://doi.org/10.48550/arXiv.1112.6136.</w:t>
      </w:r>
    </w:p>
    <w:sectPr>
      <w:headerReference r:id="rId4" w:type="default"/>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B0604020202020204"/>
    <w:charset w:val="86"/>
    <w:family w:val="modern"/>
    <w:pitch w:val="default"/>
    <w:sig w:usb0="00000000" w:usb1="00000000"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KSRIFCVMGO0_19_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LOMRRZAO0_16_0">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D069E37">
      <w:pPr>
        <w:spacing w:line="300" w:lineRule="exact"/>
        <w:rPr>
          <w:rFonts w:ascii="仿宋" w:hAnsi="仿宋" w:eastAsia="仿宋"/>
          <w:sz w:val="18"/>
          <w:szCs w:val="18"/>
        </w:rPr>
      </w:pPr>
      <w:r>
        <w:rPr>
          <w:rFonts w:hint="eastAsia" w:ascii="仿宋" w:hAnsi="仿宋" w:eastAsia="仿宋"/>
          <w:sz w:val="18"/>
          <w:szCs w:val="18"/>
        </w:rPr>
        <w:t>*通信作者</w:t>
      </w:r>
    </w:p>
    <w:p w14:paraId="31F08790">
      <w:pPr>
        <w:spacing w:line="300" w:lineRule="exact"/>
        <w:rPr>
          <w:rFonts w:ascii="仿宋" w:hAnsi="仿宋" w:eastAsia="仿宋"/>
          <w:sz w:val="18"/>
          <w:szCs w:val="18"/>
        </w:rPr>
      </w:pPr>
      <w:r>
        <w:rPr>
          <w:rFonts w:hint="eastAsia" w:ascii="仿宋" w:hAnsi="仿宋" w:eastAsia="仿宋"/>
          <w:sz w:val="18"/>
          <w:szCs w:val="18"/>
        </w:rPr>
        <w:t>基金项目：国家自然科学基金（1</w:t>
      </w:r>
      <w:r>
        <w:rPr>
          <w:rFonts w:ascii="仿宋" w:hAnsi="仿宋" w:eastAsia="仿宋"/>
          <w:sz w:val="18"/>
          <w:szCs w:val="18"/>
        </w:rPr>
        <w:t>1</w:t>
      </w:r>
      <w:r>
        <w:rPr>
          <w:rFonts w:hint="eastAsia" w:ascii="仿宋" w:hAnsi="仿宋" w:eastAsia="仿宋"/>
          <w:sz w:val="18"/>
          <w:szCs w:val="18"/>
        </w:rPr>
        <w:t>xxx）</w:t>
      </w:r>
    </w:p>
    <w:p w14:paraId="738D6238">
      <w:pPr>
        <w:spacing w:line="300" w:lineRule="exact"/>
        <w:rPr>
          <w:rFonts w:ascii="仿宋_GB2312" w:eastAsia="仿宋_GB2312"/>
          <w:sz w:val="18"/>
          <w:szCs w:val="18"/>
        </w:rPr>
      </w:pPr>
      <w:r>
        <w:rPr>
          <w:rFonts w:hint="eastAsia" w:ascii="仿宋" w:hAnsi="仿宋" w:eastAsia="仿宋"/>
          <w:sz w:val="18"/>
          <w:szCs w:val="18"/>
        </w:rPr>
        <w:t>收稿日期：2</w:t>
      </w:r>
      <w:r>
        <w:rPr>
          <w:rFonts w:ascii="仿宋" w:hAnsi="仿宋" w:eastAsia="仿宋"/>
          <w:sz w:val="18"/>
          <w:szCs w:val="18"/>
        </w:rPr>
        <w:t>0xx-</w:t>
      </w:r>
      <w:r>
        <w:rPr>
          <w:rFonts w:hint="eastAsia" w:ascii="仿宋" w:hAnsi="仿宋" w:eastAsia="仿宋"/>
          <w:sz w:val="18"/>
          <w:szCs w:val="18"/>
        </w:rPr>
        <w:t>xx</w:t>
      </w:r>
      <w:r>
        <w:rPr>
          <w:rFonts w:ascii="仿宋" w:hAnsi="仿宋" w:eastAsia="仿宋"/>
          <w:sz w:val="18"/>
          <w:szCs w:val="18"/>
        </w:rPr>
        <w:t>-xx;</w:t>
      </w:r>
      <w:r>
        <w:rPr>
          <w:rFonts w:hint="eastAsia" w:ascii="仿宋" w:hAnsi="仿宋" w:eastAsia="仿宋"/>
          <w:sz w:val="18"/>
          <w:szCs w:val="18"/>
        </w:rPr>
        <w:t>修回日期：2</w:t>
      </w:r>
      <w:r>
        <w:rPr>
          <w:rFonts w:ascii="仿宋" w:hAnsi="仿宋" w:eastAsia="仿宋"/>
          <w:sz w:val="18"/>
          <w:szCs w:val="18"/>
        </w:rPr>
        <w:t>0</w:t>
      </w:r>
      <w:r>
        <w:rPr>
          <w:rFonts w:hint="eastAsia" w:ascii="仿宋" w:hAnsi="仿宋" w:eastAsia="仿宋"/>
          <w:sz w:val="18"/>
          <w:szCs w:val="18"/>
        </w:rPr>
        <w:t>xx</w:t>
      </w:r>
      <w:r>
        <w:rPr>
          <w:rFonts w:ascii="仿宋" w:hAnsi="仿宋" w:eastAsia="仿宋"/>
          <w:sz w:val="18"/>
          <w:szCs w:val="18"/>
        </w:rPr>
        <w:t>-xx-xx</w:t>
      </w:r>
    </w:p>
    <w:p w14:paraId="11FE066B">
      <w:pPr>
        <w:pStyle w:val="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FE412">
    <w:pPr>
      <w:pStyle w:val="5"/>
      <w:rPr>
        <w:rFonts w:ascii="黑体" w:hAnsi="黑体" w:eastAsia="黑体"/>
        <w:color w:val="C55A11" w:themeColor="accent2" w:themeShade="BF"/>
        <w:sz w:val="28"/>
        <w:szCs w:val="28"/>
      </w:rPr>
    </w:pPr>
    <w:r>
      <w:rPr>
        <w:rFonts w:hint="eastAsia" w:ascii="黑体" w:hAnsi="黑体" w:eastAsia="黑体"/>
        <w:color w:val="C55A11" w:themeColor="accent2" w:themeShade="BF"/>
        <w:sz w:val="28"/>
        <w:szCs w:val="28"/>
      </w:rPr>
      <w:t>-</w:t>
    </w:r>
    <w:r>
      <w:rPr>
        <w:rFonts w:ascii="黑体" w:hAnsi="黑体" w:eastAsia="黑体"/>
        <w:color w:val="C55A11" w:themeColor="accent2" w:themeShade="BF"/>
        <w:sz w:val="28"/>
        <w:szCs w:val="28"/>
      </w:rPr>
      <w:t>------</w:t>
    </w:r>
    <w:r>
      <w:rPr>
        <w:rFonts w:hint="eastAsia" w:ascii="黑体" w:hAnsi="黑体" w:eastAsia="黑体"/>
        <w:color w:val="C55A11" w:themeColor="accent2" w:themeShade="BF"/>
        <w:sz w:val="28"/>
        <w:szCs w:val="28"/>
      </w:rPr>
      <w:t>-</w:t>
    </w:r>
    <w:r>
      <w:rPr>
        <w:rFonts w:ascii="黑体" w:hAnsi="黑体" w:eastAsia="黑体"/>
        <w:color w:val="C55A11" w:themeColor="accent2" w:themeShade="BF"/>
        <w:sz w:val="28"/>
        <w:szCs w:val="28"/>
      </w:rPr>
      <w:t>------</w:t>
    </w:r>
    <w:r>
      <w:rPr>
        <w:rFonts w:hint="eastAsia" w:ascii="黑体" w:hAnsi="黑体" w:eastAsia="黑体"/>
        <w:color w:val="C55A11" w:themeColor="accent2" w:themeShade="BF"/>
        <w:sz w:val="28"/>
        <w:szCs w:val="28"/>
      </w:rPr>
      <w:t>《新兴科学和技术趋势》投稿模板-</w:t>
    </w:r>
    <w:r>
      <w:rPr>
        <w:rFonts w:ascii="黑体" w:hAnsi="黑体" w:eastAsia="黑体"/>
        <w:color w:val="C55A11" w:themeColor="accent2" w:themeShade="BF"/>
        <w:sz w:val="28"/>
        <w:szCs w:val="28"/>
      </w:rPr>
      <w:t>------</w:t>
    </w:r>
    <w:r>
      <w:rPr>
        <w:rFonts w:hint="eastAsia" w:ascii="黑体" w:hAnsi="黑体" w:eastAsia="黑体"/>
        <w:color w:val="C55A11" w:themeColor="accent2" w:themeShade="BF"/>
        <w:sz w:val="28"/>
        <w:szCs w:val="28"/>
      </w:rPr>
      <w:t>-</w:t>
    </w:r>
    <w:r>
      <w:rPr>
        <w:rFonts w:ascii="黑体" w:hAnsi="黑体" w:eastAsia="黑体"/>
        <w:color w:val="C55A11" w:themeColor="accent2" w:themeShade="BF"/>
        <w:sz w:val="28"/>
        <w:szCs w:val="2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D1836C"/>
    <w:multiLevelType w:val="singleLevel"/>
    <w:tmpl w:val="D7D1836C"/>
    <w:lvl w:ilvl="0" w:tentative="0">
      <w:start w:val="3"/>
      <w:numFmt w:val="decimal"/>
      <w:suff w:val="nothing"/>
      <w:lvlText w:val="（%1）"/>
      <w:lvlJc w:val="left"/>
    </w:lvl>
  </w:abstractNum>
  <w:abstractNum w:abstractNumId="1">
    <w:nsid w:val="0FB36CB1"/>
    <w:multiLevelType w:val="multilevel"/>
    <w:tmpl w:val="0FB36CB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3067185"/>
    <w:multiLevelType w:val="multilevel"/>
    <w:tmpl w:val="1306718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F1A5B86"/>
    <w:multiLevelType w:val="multilevel"/>
    <w:tmpl w:val="7F1A5B86"/>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RhMzUyZjA5ZGYxZDllNjlkZTE3N2QwYjlhNGVhZTIifQ=="/>
  </w:docVars>
  <w:rsids>
    <w:rsidRoot w:val="00A93D7F"/>
    <w:rsid w:val="000070DF"/>
    <w:rsid w:val="00023C2F"/>
    <w:rsid w:val="000415E0"/>
    <w:rsid w:val="000474CD"/>
    <w:rsid w:val="00054A07"/>
    <w:rsid w:val="0006575D"/>
    <w:rsid w:val="00072F89"/>
    <w:rsid w:val="000B1A76"/>
    <w:rsid w:val="000C0EE1"/>
    <w:rsid w:val="000C2874"/>
    <w:rsid w:val="00167234"/>
    <w:rsid w:val="001A0DB5"/>
    <w:rsid w:val="001D5F82"/>
    <w:rsid w:val="001D6701"/>
    <w:rsid w:val="002134A2"/>
    <w:rsid w:val="00242F3A"/>
    <w:rsid w:val="00252C23"/>
    <w:rsid w:val="00255AEB"/>
    <w:rsid w:val="00311B09"/>
    <w:rsid w:val="003135E1"/>
    <w:rsid w:val="00384C1A"/>
    <w:rsid w:val="003D2F96"/>
    <w:rsid w:val="003D3E98"/>
    <w:rsid w:val="003F722A"/>
    <w:rsid w:val="0045602E"/>
    <w:rsid w:val="00472117"/>
    <w:rsid w:val="004805A5"/>
    <w:rsid w:val="004B4C91"/>
    <w:rsid w:val="004C7274"/>
    <w:rsid w:val="004E0B9E"/>
    <w:rsid w:val="004F2227"/>
    <w:rsid w:val="00534EAC"/>
    <w:rsid w:val="005372EC"/>
    <w:rsid w:val="00540D30"/>
    <w:rsid w:val="005650F7"/>
    <w:rsid w:val="0059153D"/>
    <w:rsid w:val="005E0528"/>
    <w:rsid w:val="005F23DE"/>
    <w:rsid w:val="006405D6"/>
    <w:rsid w:val="00683BC5"/>
    <w:rsid w:val="006B7D71"/>
    <w:rsid w:val="006F1B67"/>
    <w:rsid w:val="006F79FE"/>
    <w:rsid w:val="00722F2F"/>
    <w:rsid w:val="007D0919"/>
    <w:rsid w:val="007E65B2"/>
    <w:rsid w:val="007F21D2"/>
    <w:rsid w:val="007F271F"/>
    <w:rsid w:val="0083440A"/>
    <w:rsid w:val="008853F7"/>
    <w:rsid w:val="008965E3"/>
    <w:rsid w:val="008D0434"/>
    <w:rsid w:val="008D7311"/>
    <w:rsid w:val="00961B83"/>
    <w:rsid w:val="00962BBE"/>
    <w:rsid w:val="00970072"/>
    <w:rsid w:val="00970487"/>
    <w:rsid w:val="00995265"/>
    <w:rsid w:val="009A6373"/>
    <w:rsid w:val="009D3654"/>
    <w:rsid w:val="00A06E63"/>
    <w:rsid w:val="00A3617A"/>
    <w:rsid w:val="00A53D83"/>
    <w:rsid w:val="00A70080"/>
    <w:rsid w:val="00A8663A"/>
    <w:rsid w:val="00A93D7F"/>
    <w:rsid w:val="00B14F88"/>
    <w:rsid w:val="00B53B01"/>
    <w:rsid w:val="00B76E2C"/>
    <w:rsid w:val="00B92F7E"/>
    <w:rsid w:val="00BB45C8"/>
    <w:rsid w:val="00C565A8"/>
    <w:rsid w:val="00D3775A"/>
    <w:rsid w:val="00D725A1"/>
    <w:rsid w:val="00D7460D"/>
    <w:rsid w:val="00DA23EA"/>
    <w:rsid w:val="00E56BE1"/>
    <w:rsid w:val="00E659CA"/>
    <w:rsid w:val="00E74C4C"/>
    <w:rsid w:val="00EB1603"/>
    <w:rsid w:val="00F15B4E"/>
    <w:rsid w:val="00F20515"/>
    <w:rsid w:val="00F76805"/>
    <w:rsid w:val="00FF7540"/>
    <w:rsid w:val="024E73C1"/>
    <w:rsid w:val="03D746CC"/>
    <w:rsid w:val="068154EF"/>
    <w:rsid w:val="07235BE6"/>
    <w:rsid w:val="07873E0D"/>
    <w:rsid w:val="08F36305"/>
    <w:rsid w:val="0BE46B89"/>
    <w:rsid w:val="0FE653F1"/>
    <w:rsid w:val="128B14A3"/>
    <w:rsid w:val="12D94624"/>
    <w:rsid w:val="13364195"/>
    <w:rsid w:val="135644D7"/>
    <w:rsid w:val="188624F1"/>
    <w:rsid w:val="18A706B9"/>
    <w:rsid w:val="196907BD"/>
    <w:rsid w:val="1A043D36"/>
    <w:rsid w:val="1A4F2D4D"/>
    <w:rsid w:val="1ABF7F3C"/>
    <w:rsid w:val="1DCF4839"/>
    <w:rsid w:val="20937887"/>
    <w:rsid w:val="21584C46"/>
    <w:rsid w:val="21A62C30"/>
    <w:rsid w:val="25B271E9"/>
    <w:rsid w:val="261849A4"/>
    <w:rsid w:val="2A543D9F"/>
    <w:rsid w:val="2B573C92"/>
    <w:rsid w:val="2BFD7A45"/>
    <w:rsid w:val="319C292D"/>
    <w:rsid w:val="31B92D40"/>
    <w:rsid w:val="361232A7"/>
    <w:rsid w:val="37E1109A"/>
    <w:rsid w:val="38BD37F2"/>
    <w:rsid w:val="38BF587F"/>
    <w:rsid w:val="39F234C2"/>
    <w:rsid w:val="3A91085B"/>
    <w:rsid w:val="3D90676D"/>
    <w:rsid w:val="3FEB0D6F"/>
    <w:rsid w:val="44C25999"/>
    <w:rsid w:val="46D64E77"/>
    <w:rsid w:val="487F2935"/>
    <w:rsid w:val="4B884C99"/>
    <w:rsid w:val="4CB93F3C"/>
    <w:rsid w:val="4F1D1391"/>
    <w:rsid w:val="53E2084E"/>
    <w:rsid w:val="592A0EED"/>
    <w:rsid w:val="5B581385"/>
    <w:rsid w:val="5CAC7619"/>
    <w:rsid w:val="5DAB37DD"/>
    <w:rsid w:val="5F06780F"/>
    <w:rsid w:val="632400A8"/>
    <w:rsid w:val="69241D36"/>
    <w:rsid w:val="6DD76A32"/>
    <w:rsid w:val="72461690"/>
    <w:rsid w:val="72640322"/>
    <w:rsid w:val="72E301D1"/>
    <w:rsid w:val="773C186D"/>
    <w:rsid w:val="79AC0800"/>
    <w:rsid w:val="79C24075"/>
    <w:rsid w:val="7A2800DC"/>
    <w:rsid w:val="7A56511A"/>
    <w:rsid w:val="7C662B41"/>
    <w:rsid w:val="7DBF0B02"/>
    <w:rsid w:val="7E3414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1"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qFormat="1" w:uiPriority="1" w:semiHidden="0" w:name="footnote reference"/>
    <w:lsdException w:qFormat="1" w:uiPriority="1"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qFormat/>
    <w:uiPriority w:val="35"/>
    <w:rPr>
      <w:rFonts w:ascii="Arial" w:hAnsi="Arial" w:eastAsia="黑体" w:cs="Arial"/>
      <w:sz w:val="20"/>
      <w:szCs w:val="20"/>
    </w:rPr>
  </w:style>
  <w:style w:type="paragraph" w:styleId="3">
    <w:name w:val="annotation text"/>
    <w:basedOn w:val="1"/>
    <w:link w:val="23"/>
    <w:semiHidden/>
    <w:unhideWhenUsed/>
    <w:qFormat/>
    <w:uiPriority w:val="99"/>
    <w:pPr>
      <w:jc w:val="left"/>
    </w:pPr>
  </w:style>
  <w:style w:type="paragraph" w:styleId="4">
    <w:name w:val="footer"/>
    <w:basedOn w:val="1"/>
    <w:link w:val="22"/>
    <w:unhideWhenUsed/>
    <w:qFormat/>
    <w:uiPriority w:val="99"/>
    <w:pPr>
      <w:tabs>
        <w:tab w:val="center" w:pos="4153"/>
        <w:tab w:val="right" w:pos="8306"/>
      </w:tabs>
      <w:snapToGrid w:val="0"/>
      <w:jc w:val="left"/>
    </w:pPr>
    <w:rPr>
      <w:sz w:val="18"/>
      <w:szCs w:val="18"/>
    </w:rPr>
  </w:style>
  <w:style w:type="paragraph" w:styleId="5">
    <w:name w:val="header"/>
    <w:basedOn w:val="1"/>
    <w:link w:val="21"/>
    <w:unhideWhenUsed/>
    <w:qFormat/>
    <w:uiPriority w:val="99"/>
    <w:pPr>
      <w:tabs>
        <w:tab w:val="center" w:pos="4153"/>
        <w:tab w:val="right" w:pos="8306"/>
      </w:tabs>
      <w:snapToGrid w:val="0"/>
      <w:jc w:val="center"/>
    </w:pPr>
    <w:rPr>
      <w:sz w:val="18"/>
      <w:szCs w:val="18"/>
    </w:rPr>
  </w:style>
  <w:style w:type="paragraph" w:styleId="6">
    <w:name w:val="footnote text"/>
    <w:basedOn w:val="1"/>
    <w:link w:val="14"/>
    <w:unhideWhenUsed/>
    <w:qFormat/>
    <w:uiPriority w:val="1"/>
    <w:pPr>
      <w:snapToGrid w:val="0"/>
      <w:jc w:val="left"/>
    </w:pPr>
    <w:rPr>
      <w:rFonts w:asciiTheme="minorHAnsi" w:hAnsiTheme="minorHAnsi" w:eastAsiaTheme="minorEastAsia" w:cstheme="minorBidi"/>
      <w:sz w:val="18"/>
      <w:szCs w:val="18"/>
    </w:rPr>
  </w:style>
  <w:style w:type="paragraph" w:styleId="7">
    <w:name w:val="annotation subject"/>
    <w:basedOn w:val="3"/>
    <w:next w:val="3"/>
    <w:link w:val="24"/>
    <w:semiHidden/>
    <w:unhideWhenUsed/>
    <w:qFormat/>
    <w:uiPriority w:val="99"/>
    <w:rPr>
      <w:b/>
      <w:bCs/>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qFormat/>
    <w:uiPriority w:val="0"/>
    <w:rPr>
      <w:color w:val="0000FF"/>
      <w:u w:val="single"/>
    </w:rPr>
  </w:style>
  <w:style w:type="character" w:styleId="12">
    <w:name w:val="annotation reference"/>
    <w:unhideWhenUsed/>
    <w:qFormat/>
    <w:uiPriority w:val="1"/>
    <w:rPr>
      <w:sz w:val="21"/>
      <w:szCs w:val="21"/>
    </w:rPr>
  </w:style>
  <w:style w:type="character" w:styleId="13">
    <w:name w:val="footnote reference"/>
    <w:unhideWhenUsed/>
    <w:qFormat/>
    <w:uiPriority w:val="1"/>
    <w:rPr>
      <w:vertAlign w:val="superscript"/>
    </w:rPr>
  </w:style>
  <w:style w:type="character" w:customStyle="1" w:styleId="14">
    <w:name w:val="脚注文本 字符"/>
    <w:link w:val="6"/>
    <w:qFormat/>
    <w:uiPriority w:val="1"/>
    <w:rPr>
      <w:sz w:val="18"/>
      <w:szCs w:val="18"/>
    </w:rPr>
  </w:style>
  <w:style w:type="character" w:customStyle="1" w:styleId="15">
    <w:name w:val="脚注文本 字符1"/>
    <w:basedOn w:val="10"/>
    <w:semiHidden/>
    <w:qFormat/>
    <w:uiPriority w:val="99"/>
    <w:rPr>
      <w:rFonts w:ascii="Times New Roman" w:hAnsi="Times New Roman" w:eastAsia="宋体" w:cs="Times New Roman"/>
      <w:sz w:val="18"/>
      <w:szCs w:val="18"/>
    </w:rPr>
  </w:style>
  <w:style w:type="paragraph" w:styleId="16">
    <w:name w:val="List Paragraph"/>
    <w:basedOn w:val="1"/>
    <w:qFormat/>
    <w:uiPriority w:val="34"/>
    <w:pPr>
      <w:ind w:firstLine="420" w:firstLineChars="200"/>
    </w:pPr>
  </w:style>
  <w:style w:type="paragraph" w:customStyle="1" w:styleId="17">
    <w:name w:val="修订1"/>
    <w:hidden/>
    <w:semiHidden/>
    <w:qFormat/>
    <w:uiPriority w:val="99"/>
    <w:rPr>
      <w:rFonts w:ascii="Times New Roman" w:hAnsi="Times New Roman" w:eastAsia="宋体" w:cs="Times New Roman"/>
      <w:kern w:val="2"/>
      <w:sz w:val="21"/>
      <w:szCs w:val="22"/>
      <w:lang w:val="en-US" w:eastAsia="zh-CN" w:bidi="ar-SA"/>
    </w:rPr>
  </w:style>
  <w:style w:type="character" w:styleId="18">
    <w:name w:val="Placeholder Text"/>
    <w:basedOn w:val="10"/>
    <w:semiHidden/>
    <w:qFormat/>
    <w:uiPriority w:val="99"/>
    <w:rPr>
      <w:color w:val="808080"/>
    </w:rPr>
  </w:style>
  <w:style w:type="table" w:customStyle="1" w:styleId="19">
    <w:name w:val="网格型1"/>
    <w:basedOn w:val="8"/>
    <w:qFormat/>
    <w:uiPriority w:val="39"/>
    <w:rPr>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text51"/>
    <w:qFormat/>
    <w:uiPriority w:val="0"/>
    <w:rPr>
      <w:color w:val="000000"/>
      <w:spacing w:val="31680"/>
      <w:sz w:val="22"/>
      <w:szCs w:val="22"/>
      <w:u w:val="none"/>
    </w:rPr>
  </w:style>
  <w:style w:type="character" w:customStyle="1" w:styleId="21">
    <w:name w:val="页眉 字符"/>
    <w:basedOn w:val="10"/>
    <w:link w:val="5"/>
    <w:qFormat/>
    <w:uiPriority w:val="99"/>
    <w:rPr>
      <w:rFonts w:ascii="Times New Roman" w:hAnsi="Times New Roman" w:eastAsia="宋体" w:cs="Times New Roman"/>
      <w:sz w:val="18"/>
      <w:szCs w:val="18"/>
    </w:rPr>
  </w:style>
  <w:style w:type="character" w:customStyle="1" w:styleId="22">
    <w:name w:val="页脚 字符"/>
    <w:basedOn w:val="10"/>
    <w:link w:val="4"/>
    <w:qFormat/>
    <w:uiPriority w:val="99"/>
    <w:rPr>
      <w:rFonts w:ascii="Times New Roman" w:hAnsi="Times New Roman" w:eastAsia="宋体" w:cs="Times New Roman"/>
      <w:sz w:val="18"/>
      <w:szCs w:val="18"/>
    </w:rPr>
  </w:style>
  <w:style w:type="character" w:customStyle="1" w:styleId="23">
    <w:name w:val="批注文字 字符"/>
    <w:basedOn w:val="10"/>
    <w:link w:val="3"/>
    <w:semiHidden/>
    <w:qFormat/>
    <w:uiPriority w:val="99"/>
    <w:rPr>
      <w:rFonts w:ascii="Times New Roman" w:hAnsi="Times New Roman" w:eastAsia="宋体" w:cs="Times New Roman"/>
      <w:kern w:val="2"/>
      <w:sz w:val="21"/>
      <w:szCs w:val="22"/>
    </w:rPr>
  </w:style>
  <w:style w:type="character" w:customStyle="1" w:styleId="24">
    <w:name w:val="批注主题 字符"/>
    <w:basedOn w:val="23"/>
    <w:link w:val="7"/>
    <w:semiHidden/>
    <w:qFormat/>
    <w:uiPriority w:val="99"/>
    <w:rPr>
      <w:rFonts w:ascii="Times New Roman" w:hAnsi="Times New Roman" w:eastAsia="宋体" w:cs="Times New Roman"/>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w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F9020-4B49-024E-B2A0-F7DCF30F18F6}">
  <ds:schemaRefs/>
</ds:datastoreItem>
</file>

<file path=docProps/app.xml><?xml version="1.0" encoding="utf-8"?>
<Properties xmlns="http://schemas.openxmlformats.org/officeDocument/2006/extended-properties" xmlns:vt="http://schemas.openxmlformats.org/officeDocument/2006/docPropsVTypes">
  <Template>Normal.dotm</Template>
  <Pages>8</Pages>
  <Words>5998</Words>
  <Characters>14031</Characters>
  <Lines>47</Lines>
  <Paragraphs>13</Paragraphs>
  <TotalTime>335</TotalTime>
  <ScaleCrop>false</ScaleCrop>
  <LinksUpToDate>false</LinksUpToDate>
  <CharactersWithSpaces>14783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2023-05-10T07:06:00Z</dcterms:created>
  <dc:creator>Li Chen</dc:creator>
  <cp:lastModifiedBy>侯雪彦</cp:lastModifiedBy>
  <dcterms:modified xsi:type="dcterms:W3CDTF">2026-03-26T01:50:11Z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236446B947A44636A53F3AAA3547FEDF_13</vt:lpwstr>
  </property>
  <property fmtid="{D5CDD505-2E9C-101B-9397-08002B2CF9AE}" pid="4" name="KSOTemplateDocerSaveRecord">
    <vt:lpwstr>eyJoZGlkIjoiODIyZjNkMzJiMDU0YTU0MTg0Yjg5Yzc2OTNiZGY4ODciLCJ1c2VySWQiOiIxMzYwMTU5NzA0In0=</vt:lpwstr>
  </property>
</Properties>
</file>